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GRADE 8 – 2026</w:t>
      </w:r>
    </w:p>
    <w:p>
      <w:pPr>
        <w:jc w:val="center"/>
      </w:pPr>
      <w:r>
        <w:rPr>
          <w:b/>
          <w:sz w:val="30"/>
        </w:rPr>
        <w:t>CHRISTIAN RELIGIOUS EDUCATION</w:t>
      </w:r>
    </w:p>
    <w:p>
      <w:pPr>
        <w:jc w:val="center"/>
      </w:pPr>
      <w:r>
        <w:rPr>
          <w:b/>
        </w:rPr>
        <w:t>Time: 1 hour 30 minutes   |   Total: 50 marks</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D9EAF7"/>
            <w:tcMar>
              <w:top w:w="90" w:type="dxa"/>
              <w:start w:w="90" w:type="dxa"/>
              <w:bottom w:w="90" w:type="dxa"/>
              <w:end w:w="90" w:type="dxa"/>
            </w:tcMar>
            <w:vAlign w:val="center"/>
          </w:tcPr>
          <w:p>
            <w:r>
              <w:rPr>
                <w:b/>
              </w:rPr>
              <w:t>Learner’s Name</w:t>
            </w:r>
          </w:p>
        </w:tc>
        <w:tc>
          <w:tcPr>
            <w:tcW w:type="dxa" w:w="2592"/>
            <w:shd w:fill="D9EAF7"/>
            <w:tcMar>
              <w:top w:w="90" w:type="dxa"/>
              <w:start w:w="90" w:type="dxa"/>
              <w:bottom w:w="90" w:type="dxa"/>
              <w:end w:w="90" w:type="dxa"/>
            </w:tcMar>
            <w:vAlign w:val="center"/>
          </w:tcPr>
          <w:p>
            <w:r>
              <w:rPr>
                <w:b/>
              </w:rPr>
              <w:t>Assessment Number</w:t>
            </w:r>
          </w:p>
        </w:tc>
        <w:tc>
          <w:tcPr>
            <w:tcW w:type="dxa" w:w="2592"/>
            <w:shd w:fill="D9EAF7"/>
            <w:tcMar>
              <w:top w:w="90" w:type="dxa"/>
              <w:start w:w="90" w:type="dxa"/>
              <w:bottom w:w="90" w:type="dxa"/>
              <w:end w:w="90" w:type="dxa"/>
            </w:tcMar>
            <w:vAlign w:val="center"/>
          </w:tcPr>
          <w:p>
            <w:r>
              <w:rPr>
                <w:b/>
              </w:rPr>
              <w:t>School Name</w:t>
            </w:r>
          </w:p>
        </w:tc>
        <w:tc>
          <w:tcPr>
            <w:tcW w:type="dxa" w:w="2592"/>
            <w:shd w:fill="D9EAF7"/>
            <w:tcMar>
              <w:top w:w="90" w:type="dxa"/>
              <w:start w:w="90" w:type="dxa"/>
              <w:bottom w:w="90" w:type="dxa"/>
              <w:end w:w="90" w:type="dxa"/>
            </w:tcMar>
            <w:vAlign w:val="center"/>
          </w:tcPr>
          <w:p>
            <w:r>
              <w:rPr>
                <w:b/>
              </w:rPr>
              <w:t>School Code</w:t>
            </w:r>
          </w:p>
        </w:tc>
      </w:tr>
    </w:tbl>
    <w:p>
      <w:pPr>
        <w:jc w:val="center"/>
      </w:pPr>
      <w:r>
        <w:rPr>
          <w:b/>
          <w:sz w:val="26"/>
        </w:rPr>
        <w:t>MARKING SCHEME &amp; TEACHER’S GUIDE</w:t>
      </w:r>
    </w:p>
    <w:p>
      <w:pPr>
        <w:pStyle w:val="Heading1"/>
      </w:pPr>
      <w:r>
        <w:t>Assessment Structure</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trPr>
        <w:tc>
          <w:tcPr>
            <w:tcW w:type="dxa" w:w="2592"/>
            <w:shd w:fill="D9EAF7"/>
          </w:tcPr>
          <w:p>
            <w:r>
              <w:rPr>
                <w:b/>
              </w:rPr>
              <w:t>Section</w:t>
            </w:r>
          </w:p>
        </w:tc>
        <w:tc>
          <w:tcPr>
            <w:tcW w:type="dxa" w:w="2592"/>
            <w:shd w:fill="D9EAF7"/>
          </w:tcPr>
          <w:p>
            <w:r>
              <w:rPr>
                <w:b/>
              </w:rPr>
              <w:t>Questions</w:t>
            </w:r>
          </w:p>
        </w:tc>
        <w:tc>
          <w:tcPr>
            <w:tcW w:type="dxa" w:w="2592"/>
            <w:shd w:fill="D9EAF7"/>
          </w:tcPr>
          <w:p>
            <w:r>
              <w:rPr>
                <w:b/>
              </w:rPr>
              <w:t>Marks</w:t>
            </w:r>
          </w:p>
        </w:tc>
        <w:tc>
          <w:tcPr>
            <w:tcW w:type="dxa" w:w="2592"/>
            <w:shd w:fill="D9EAF7"/>
          </w:tcPr>
          <w:p>
            <w:r>
              <w:rPr>
                <w:b/>
              </w:rPr>
              <w:t>Format</w:t>
            </w:r>
          </w:p>
        </w:tc>
      </w:tr>
      <w:tr>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1–20</w:t>
            </w:r>
          </w:p>
        </w:tc>
        <w:tc>
          <w:tcPr>
            <w:tcW w:type="dxa" w:w="2592"/>
            <w:tcMar>
              <w:top w:w="90" w:type="dxa"/>
              <w:start w:w="90" w:type="dxa"/>
              <w:bottom w:w="90" w:type="dxa"/>
              <w:end w:w="90" w:type="dxa"/>
            </w:tcMar>
          </w:tcPr>
          <w:p>
            <w:r>
              <w:t>20</w:t>
            </w:r>
          </w:p>
        </w:tc>
        <w:tc>
          <w:tcPr>
            <w:tcW w:type="dxa" w:w="2592"/>
            <w:tcMar>
              <w:top w:w="90" w:type="dxa"/>
              <w:start w:w="90" w:type="dxa"/>
              <w:bottom w:w="90" w:type="dxa"/>
              <w:end w:w="90" w:type="dxa"/>
            </w:tcMar>
          </w:tcPr>
          <w:p>
            <w:r>
              <w:t>Multiple choice</w:t>
            </w:r>
          </w:p>
        </w:tc>
      </w:tr>
      <w:tr>
        <w:tc>
          <w:tcPr>
            <w:tcW w:type="dxa" w:w="2592"/>
            <w:tcMar>
              <w:top w:w="90" w:type="dxa"/>
              <w:start w:w="90" w:type="dxa"/>
              <w:bottom w:w="90" w:type="dxa"/>
              <w:end w:w="90" w:type="dxa"/>
            </w:tcMar>
          </w:tcPr>
          <w:p>
            <w:r>
              <w:t>B</w:t>
            </w:r>
          </w:p>
        </w:tc>
        <w:tc>
          <w:tcPr>
            <w:tcW w:type="dxa" w:w="2592"/>
            <w:tcMar>
              <w:top w:w="90" w:type="dxa"/>
              <w:start w:w="90" w:type="dxa"/>
              <w:bottom w:w="90" w:type="dxa"/>
              <w:end w:w="90" w:type="dxa"/>
            </w:tcMar>
          </w:tcPr>
          <w:p>
            <w:r>
              <w:t>21–26</w:t>
            </w:r>
          </w:p>
        </w:tc>
        <w:tc>
          <w:tcPr>
            <w:tcW w:type="dxa" w:w="2592"/>
            <w:tcMar>
              <w:top w:w="90" w:type="dxa"/>
              <w:start w:w="90" w:type="dxa"/>
              <w:bottom w:w="90" w:type="dxa"/>
              <w:end w:w="90" w:type="dxa"/>
            </w:tcMar>
          </w:tcPr>
          <w:p>
            <w:r>
              <w:t>30</w:t>
            </w:r>
          </w:p>
        </w:tc>
        <w:tc>
          <w:tcPr>
            <w:tcW w:type="dxa" w:w="2592"/>
            <w:tcMar>
              <w:top w:w="90" w:type="dxa"/>
              <w:start w:w="90" w:type="dxa"/>
              <w:bottom w:w="90" w:type="dxa"/>
              <w:end w:w="90" w:type="dxa"/>
            </w:tcMar>
          </w:tcPr>
          <w:p>
            <w:r>
              <w:t>Short structured and essay</w:t>
            </w:r>
          </w:p>
        </w:tc>
      </w:tr>
      <w:tr>
        <w:tc>
          <w:tcPr>
            <w:tcW w:type="dxa" w:w="2592"/>
            <w:tcMar>
              <w:top w:w="90" w:type="dxa"/>
              <w:start w:w="90" w:type="dxa"/>
              <w:bottom w:w="90" w:type="dxa"/>
              <w:end w:w="90" w:type="dxa"/>
            </w:tcMar>
          </w:tcPr>
          <w:p>
            <w:r>
              <w:t>Total</w:t>
            </w:r>
          </w:p>
        </w:tc>
        <w:tc>
          <w:tcPr>
            <w:tcW w:type="dxa" w:w="2592"/>
            <w:tcMar>
              <w:top w:w="90" w:type="dxa"/>
              <w:start w:w="90" w:type="dxa"/>
              <w:bottom w:w="90" w:type="dxa"/>
              <w:end w:w="90" w:type="dxa"/>
            </w:tcMar>
          </w:tcPr>
          <w:p>
            <w:r/>
          </w:p>
        </w:tc>
        <w:tc>
          <w:tcPr>
            <w:tcW w:type="dxa" w:w="2592"/>
            <w:tcMar>
              <w:top w:w="90" w:type="dxa"/>
              <w:start w:w="90" w:type="dxa"/>
              <w:bottom w:w="90" w:type="dxa"/>
              <w:end w:w="90" w:type="dxa"/>
            </w:tcMar>
          </w:tcPr>
          <w:p>
            <w:r>
              <w:t>50</w:t>
            </w:r>
          </w:p>
        </w:tc>
        <w:tc>
          <w:tcPr>
            <w:tcW w:type="dxa" w:w="2592"/>
            <w:tcMar>
              <w:top w:w="90" w:type="dxa"/>
              <w:start w:w="90" w:type="dxa"/>
              <w:bottom w:w="90" w:type="dxa"/>
              <w:end w:w="90" w:type="dxa"/>
            </w:tcMar>
          </w:tcPr>
          <w:p>
            <w:r/>
          </w:p>
        </w:tc>
      </w:tr>
    </w:tbl>
    <w:p>
      <w:r>
        <w:t>The source CRE paper contains 20 multiple-choice questions and six structured/essay questions worth 5 marks each, giving a total of 50 marks. The parallel paper retains this structure and question-number parity.</w:t>
      </w:r>
    </w:p>
    <w:p>
      <w:pPr>
        <w:pStyle w:val="Heading1"/>
      </w:pPr>
      <w:r>
        <w:t>Section A – Answer Key</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trPr>
        <w:tc>
          <w:tcPr>
            <w:tcW w:type="dxa" w:w="2592"/>
            <w:shd w:fill="D9EAF7"/>
          </w:tcPr>
          <w:p>
            <w:r>
              <w:rPr>
                <w:b/>
              </w:rPr>
              <w:t>Q</w:t>
            </w:r>
          </w:p>
        </w:tc>
        <w:tc>
          <w:tcPr>
            <w:tcW w:type="dxa" w:w="2592"/>
            <w:shd w:fill="D9EAF7"/>
          </w:tcPr>
          <w:p>
            <w:r>
              <w:rPr>
                <w:b/>
              </w:rPr>
              <w:t>Ans.</w:t>
            </w:r>
          </w:p>
        </w:tc>
        <w:tc>
          <w:tcPr>
            <w:tcW w:type="dxa" w:w="2592"/>
            <w:shd w:fill="D9EAF7"/>
          </w:tcPr>
          <w:p>
            <w:r>
              <w:rPr>
                <w:b/>
              </w:rPr>
              <w:t>Mark</w:t>
            </w:r>
          </w:p>
        </w:tc>
        <w:tc>
          <w:tcPr>
            <w:tcW w:type="dxa" w:w="2592"/>
            <w:shd w:fill="D9EAF7"/>
          </w:tcPr>
          <w:p>
            <w:r>
              <w:rPr>
                <w:b/>
              </w:rPr>
              <w:t>Expected concept</w:t>
            </w:r>
          </w:p>
        </w:tc>
      </w:tr>
      <w:tr>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Adam and Eve disobeyed God by eating the forbidden fruit.</w:t>
            </w:r>
          </w:p>
        </w:tc>
      </w:tr>
      <w:tr>
        <w:tc>
          <w:tcPr>
            <w:tcW w:type="dxa" w:w="2592"/>
            <w:tcMar>
              <w:top w:w="90" w:type="dxa"/>
              <w:start w:w="90" w:type="dxa"/>
              <w:bottom w:w="90" w:type="dxa"/>
              <w:end w:w="90" w:type="dxa"/>
            </w:tcMar>
          </w:tcPr>
          <w:p>
            <w:r>
              <w:t>2</w:t>
            </w:r>
          </w:p>
        </w:tc>
        <w:tc>
          <w:tcPr>
            <w:tcW w:type="dxa" w:w="2592"/>
            <w:tcMar>
              <w:top w:w="90" w:type="dxa"/>
              <w:start w:w="90" w:type="dxa"/>
              <w:bottom w:w="90" w:type="dxa"/>
              <w:end w:w="90" w:type="dxa"/>
            </w:tcMar>
          </w:tcPr>
          <w:p>
            <w:r>
              <w:t>B</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God as giver of life explains the origin of living creation.</w:t>
            </w:r>
          </w:p>
        </w:tc>
      </w:tr>
      <w:tr>
        <w:tc>
          <w:tcPr>
            <w:tcW w:type="dxa" w:w="2592"/>
            <w:tcMar>
              <w:top w:w="90" w:type="dxa"/>
              <w:start w:w="90" w:type="dxa"/>
              <w:bottom w:w="90" w:type="dxa"/>
              <w:end w:w="90" w:type="dxa"/>
            </w:tcMar>
          </w:tcPr>
          <w:p>
            <w:r>
              <w:t>3</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God looked for the hiding human beings, showing continued concern.</w:t>
            </w:r>
          </w:p>
        </w:tc>
      </w:tr>
      <w:tr>
        <w:tc>
          <w:tcPr>
            <w:tcW w:type="dxa" w:w="2592"/>
            <w:tcMar>
              <w:top w:w="90" w:type="dxa"/>
              <w:start w:w="90" w:type="dxa"/>
              <w:bottom w:w="90" w:type="dxa"/>
              <w:end w:w="90" w:type="dxa"/>
            </w:tcMar>
          </w:tcPr>
          <w:p>
            <w:r>
              <w:t>4</w:t>
            </w:r>
          </w:p>
        </w:tc>
        <w:tc>
          <w:tcPr>
            <w:tcW w:type="dxa" w:w="2592"/>
            <w:tcMar>
              <w:top w:w="90" w:type="dxa"/>
              <w:start w:w="90" w:type="dxa"/>
              <w:bottom w:w="90" w:type="dxa"/>
              <w:end w:w="90" w:type="dxa"/>
            </w:tcMar>
          </w:tcPr>
          <w:p>
            <w:r>
              <w:t>B</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Amos, Micah, Nahum and Malachi are Minor Prophets.</w:t>
            </w:r>
          </w:p>
        </w:tc>
      </w:tr>
      <w:tr>
        <w:tc>
          <w:tcPr>
            <w:tcW w:type="dxa" w:w="2592"/>
            <w:tcMar>
              <w:top w:w="90" w:type="dxa"/>
              <w:start w:w="90" w:type="dxa"/>
              <w:bottom w:w="90" w:type="dxa"/>
              <w:end w:w="90" w:type="dxa"/>
            </w:tcMar>
          </w:tcPr>
          <w:p>
            <w:r>
              <w:t>5</w:t>
            </w:r>
          </w:p>
        </w:tc>
        <w:tc>
          <w:tcPr>
            <w:tcW w:type="dxa" w:w="2592"/>
            <w:tcMar>
              <w:top w:w="90" w:type="dxa"/>
              <w:start w:w="90" w:type="dxa"/>
              <w:bottom w:w="90" w:type="dxa"/>
              <w:end w:w="90" w:type="dxa"/>
            </w:tcMar>
          </w:tcPr>
          <w:p>
            <w:r>
              <w:t>B</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Greek is the principal original language of the New Testament.</w:t>
            </w:r>
          </w:p>
        </w:tc>
      </w:tr>
      <w:tr>
        <w:tc>
          <w:tcPr>
            <w:tcW w:type="dxa" w:w="2592"/>
            <w:tcMar>
              <w:top w:w="90" w:type="dxa"/>
              <w:start w:w="90" w:type="dxa"/>
              <w:bottom w:w="90" w:type="dxa"/>
              <w:end w:w="90" w:type="dxa"/>
            </w:tcMar>
          </w:tcPr>
          <w:p>
            <w:r>
              <w:t>6</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Abraham’s willingness to offer Isaac demonstrates faith and obedience.</w:t>
            </w:r>
          </w:p>
        </w:tc>
      </w:tr>
      <w:tr>
        <w:tc>
          <w:tcPr>
            <w:tcW w:type="dxa" w:w="2592"/>
            <w:tcMar>
              <w:top w:w="90" w:type="dxa"/>
              <w:start w:w="90" w:type="dxa"/>
              <w:bottom w:w="90" w:type="dxa"/>
              <w:end w:w="90" w:type="dxa"/>
            </w:tcMar>
          </w:tcPr>
          <w:p>
            <w:r>
              <w:t>7</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Helping the needy is a direct expression of Christian love.</w:t>
            </w:r>
          </w:p>
        </w:tc>
      </w:tr>
      <w:tr>
        <w:tc>
          <w:tcPr>
            <w:tcW w:type="dxa" w:w="2592"/>
            <w:tcMar>
              <w:top w:w="90" w:type="dxa"/>
              <w:start w:w="90" w:type="dxa"/>
              <w:bottom w:w="90" w:type="dxa"/>
              <w:end w:w="90" w:type="dxa"/>
            </w:tcMar>
          </w:tcPr>
          <w:p>
            <w:r>
              <w:t>8</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Saul’s story highlights the importance of obeying God’s instructions.</w:t>
            </w:r>
          </w:p>
        </w:tc>
      </w:tr>
      <w:tr>
        <w:tc>
          <w:tcPr>
            <w:tcW w:type="dxa" w:w="2592"/>
            <w:tcMar>
              <w:top w:w="90" w:type="dxa"/>
              <w:start w:w="90" w:type="dxa"/>
              <w:bottom w:w="90" w:type="dxa"/>
              <w:end w:w="90" w:type="dxa"/>
            </w:tcMar>
          </w:tcPr>
          <w:p>
            <w:r>
              <w:t>9</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The covenant included promises concerning Abraham’s descendants and future.</w:t>
            </w:r>
          </w:p>
        </w:tc>
      </w:tr>
      <w:tr>
        <w:tc>
          <w:tcPr>
            <w:tcW w:type="dxa" w:w="2592"/>
            <w:tcMar>
              <w:top w:w="90" w:type="dxa"/>
              <w:start w:w="90" w:type="dxa"/>
              <w:bottom w:w="90" w:type="dxa"/>
              <w:end w:w="90" w:type="dxa"/>
            </w:tcMar>
          </w:tcPr>
          <w:p>
            <w:r>
              <w:t>10</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Bartimaeus persisted in seeking Jesus despite attempts to silence him.</w:t>
            </w:r>
          </w:p>
        </w:tc>
      </w:tr>
      <w:tr>
        <w:tc>
          <w:tcPr>
            <w:tcW w:type="dxa" w:w="2592"/>
            <w:tcMar>
              <w:top w:w="90" w:type="dxa"/>
              <w:start w:w="90" w:type="dxa"/>
              <w:bottom w:w="90" w:type="dxa"/>
              <w:end w:w="90" w:type="dxa"/>
            </w:tcMar>
          </w:tcPr>
          <w:p>
            <w:r>
              <w:t>11</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The miracle teaches trust in Jesus in frightening circumstances.</w:t>
            </w:r>
          </w:p>
        </w:tc>
      </w:tr>
      <w:tr>
        <w:tc>
          <w:tcPr>
            <w:tcW w:type="dxa" w:w="2592"/>
            <w:tcMar>
              <w:top w:w="90" w:type="dxa"/>
              <w:start w:w="90" w:type="dxa"/>
              <w:bottom w:w="90" w:type="dxa"/>
              <w:end w:w="90" w:type="dxa"/>
            </w:tcMar>
          </w:tcPr>
          <w:p>
            <w:r>
              <w:t>12</w:t>
            </w:r>
          </w:p>
        </w:tc>
        <w:tc>
          <w:tcPr>
            <w:tcW w:type="dxa" w:w="2592"/>
            <w:tcMar>
              <w:top w:w="90" w:type="dxa"/>
              <w:start w:w="90" w:type="dxa"/>
              <w:bottom w:w="90" w:type="dxa"/>
              <w:end w:w="90" w:type="dxa"/>
            </w:tcMar>
          </w:tcPr>
          <w:p>
            <w:r>
              <w:t>D</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Respectful appropriate interaction is not sexual abuse.</w:t>
            </w:r>
          </w:p>
        </w:tc>
      </w:tr>
      <w:tr>
        <w:tc>
          <w:tcPr>
            <w:tcW w:type="dxa" w:w="2592"/>
            <w:tcMar>
              <w:top w:w="90" w:type="dxa"/>
              <w:start w:w="90" w:type="dxa"/>
              <w:bottom w:w="90" w:type="dxa"/>
              <w:end w:w="90" w:type="dxa"/>
            </w:tcMar>
          </w:tcPr>
          <w:p>
            <w:r>
              <w:t>13</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Prayer does not guarantee that every personal desire will be granted.</w:t>
            </w:r>
          </w:p>
        </w:tc>
      </w:tr>
      <w:tr>
        <w:tc>
          <w:tcPr>
            <w:tcW w:type="dxa" w:w="2592"/>
            <w:tcMar>
              <w:top w:w="90" w:type="dxa"/>
              <w:start w:w="90" w:type="dxa"/>
              <w:bottom w:w="90" w:type="dxa"/>
              <w:end w:w="90" w:type="dxa"/>
            </w:tcMar>
          </w:tcPr>
          <w:p>
            <w:r>
              <w:t>14</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John the Baptist’s instruction promoted honesty and integrity.</w:t>
            </w:r>
          </w:p>
        </w:tc>
      </w:tr>
      <w:tr>
        <w:tc>
          <w:tcPr>
            <w:tcW w:type="dxa" w:w="2592"/>
            <w:tcMar>
              <w:top w:w="90" w:type="dxa"/>
              <w:start w:w="90" w:type="dxa"/>
              <w:bottom w:w="90" w:type="dxa"/>
              <w:end w:w="90" w:type="dxa"/>
            </w:tcMar>
          </w:tcPr>
          <w:p>
            <w:r>
              <w:t>15</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Pentecost included the disciples speaking in other tongues.</w:t>
            </w:r>
          </w:p>
        </w:tc>
      </w:tr>
      <w:tr>
        <w:tc>
          <w:tcPr>
            <w:tcW w:type="dxa" w:w="2592"/>
            <w:tcMar>
              <w:top w:w="90" w:type="dxa"/>
              <w:start w:w="90" w:type="dxa"/>
              <w:bottom w:w="90" w:type="dxa"/>
              <w:end w:w="90" w:type="dxa"/>
            </w:tcMar>
          </w:tcPr>
          <w:p>
            <w:r>
              <w:t>16</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Cooperation and shared responsibility strengthen family relationships.</w:t>
            </w:r>
          </w:p>
        </w:tc>
      </w:tr>
      <w:tr>
        <w:tc>
          <w:tcPr>
            <w:tcW w:type="dxa" w:w="2592"/>
            <w:tcMar>
              <w:top w:w="90" w:type="dxa"/>
              <w:start w:w="90" w:type="dxa"/>
              <w:bottom w:w="90" w:type="dxa"/>
              <w:end w:w="90" w:type="dxa"/>
            </w:tcMar>
          </w:tcPr>
          <w:p>
            <w:r>
              <w:t>17</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Gambling can lead to addiction and financial difficulties.</w:t>
            </w:r>
          </w:p>
        </w:tc>
      </w:tr>
      <w:tr>
        <w:tc>
          <w:tcPr>
            <w:tcW w:type="dxa" w:w="2592"/>
            <w:tcMar>
              <w:top w:w="90" w:type="dxa"/>
              <w:start w:w="90" w:type="dxa"/>
              <w:bottom w:w="90" w:type="dxa"/>
              <w:end w:w="90" w:type="dxa"/>
            </w:tcMar>
          </w:tcPr>
          <w:p>
            <w:r>
              <w:t>18</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Reporting bullying to a trusted adult is the responsible safeguarding response.</w:t>
            </w:r>
          </w:p>
        </w:tc>
      </w:tr>
      <w:tr>
        <w:tc>
          <w:tcPr>
            <w:tcW w:type="dxa" w:w="2592"/>
            <w:tcMar>
              <w:top w:w="90" w:type="dxa"/>
              <w:start w:w="90" w:type="dxa"/>
              <w:bottom w:w="90" w:type="dxa"/>
              <w:end w:w="90" w:type="dxa"/>
            </w:tcMar>
          </w:tcPr>
          <w:p>
            <w:r>
              <w:t>19</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Regular composition and performance provide purposeful talent development.</w:t>
            </w:r>
          </w:p>
        </w:tc>
      </w:tr>
      <w:tr>
        <w:tc>
          <w:tcPr>
            <w:tcW w:type="dxa" w:w="2592"/>
            <w:tcMar>
              <w:top w:w="90" w:type="dxa"/>
              <w:start w:w="90" w:type="dxa"/>
              <w:bottom w:w="90" w:type="dxa"/>
              <w:end w:w="90" w:type="dxa"/>
            </w:tcMar>
          </w:tcPr>
          <w:p>
            <w:r>
              <w:t>20</w:t>
            </w:r>
          </w:p>
        </w:tc>
        <w:tc>
          <w:tcPr>
            <w:tcW w:type="dxa" w:w="2592"/>
            <w:tcMar>
              <w:top w:w="90" w:type="dxa"/>
              <w:start w:w="90" w:type="dxa"/>
              <w:bottom w:w="90" w:type="dxa"/>
              <w:end w:w="90" w:type="dxa"/>
            </w:tcMar>
          </w:tcPr>
          <w:p>
            <w:r>
              <w:t>A</w:t>
            </w:r>
          </w:p>
        </w:tc>
        <w:tc>
          <w:tcPr>
            <w:tcW w:type="dxa" w:w="2592"/>
            <w:tcMar>
              <w:top w:w="90" w:type="dxa"/>
              <w:start w:w="90" w:type="dxa"/>
              <w:bottom w:w="90" w:type="dxa"/>
              <w:end w:w="90" w:type="dxa"/>
            </w:tcMar>
          </w:tcPr>
          <w:p>
            <w:r>
              <w:t>1</w:t>
            </w:r>
          </w:p>
        </w:tc>
        <w:tc>
          <w:tcPr>
            <w:tcW w:type="dxa" w:w="2592"/>
            <w:tcMar>
              <w:top w:w="90" w:type="dxa"/>
              <w:start w:w="90" w:type="dxa"/>
              <w:bottom w:w="90" w:type="dxa"/>
              <w:end w:w="90" w:type="dxa"/>
            </w:tcMar>
          </w:tcPr>
          <w:p>
            <w:r>
              <w:t>Positive peer influence is not a reason for misuse of leisure time.</w:t>
            </w:r>
          </w:p>
        </w:tc>
      </w:tr>
    </w:tbl>
    <w:p>
      <w:r>
        <w:br w:type="page"/>
      </w:r>
    </w:p>
    <w:p>
      <w:pPr>
        <w:pStyle w:val="Heading1"/>
      </w:pPr>
      <w:r>
        <w:t>Section B – Marking Guide</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D9EAF7"/>
          </w:tcPr>
          <w:p>
            <w:r>
              <w:rPr>
                <w:b/>
              </w:rPr>
              <w:t>Question</w:t>
            </w:r>
          </w:p>
        </w:tc>
        <w:tc>
          <w:tcPr>
            <w:tcW w:type="dxa" w:w="3456"/>
            <w:shd w:fill="D9EAF7"/>
          </w:tcPr>
          <w:p>
            <w:r>
              <w:rPr>
                <w:b/>
              </w:rPr>
              <w:t>Marks</w:t>
            </w:r>
          </w:p>
        </w:tc>
        <w:tc>
          <w:tcPr>
            <w:tcW w:type="dxa" w:w="3456"/>
            <w:shd w:fill="D9EAF7"/>
          </w:tcPr>
          <w:p>
            <w:r>
              <w:rPr>
                <w:b/>
              </w:rPr>
              <w:t>Marking guide</w:t>
            </w:r>
          </w:p>
        </w:tc>
      </w:tr>
      <w:tr>
        <w:tc>
          <w:tcPr>
            <w:tcW w:type="dxa" w:w="3456"/>
            <w:tcMar>
              <w:top w:w="90" w:type="dxa"/>
              <w:start w:w="90" w:type="dxa"/>
              <w:bottom w:w="90" w:type="dxa"/>
              <w:end w:w="90" w:type="dxa"/>
            </w:tcMar>
          </w:tcPr>
          <w:p>
            <w:r>
              <w:t>21</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each for any five valid reasons, such as developing Christian values and moral behaviour; understanding the Bible and Christian teachings; learning to respect others; developing responsible decision-making; promoting peaceful coexistence; understanding Christian heritage; strengthening service to the community.</w:t>
            </w:r>
          </w:p>
        </w:tc>
      </w:tr>
      <w:tr>
        <w:tc>
          <w:tcPr>
            <w:tcW w:type="dxa" w:w="3456"/>
            <w:tcMar>
              <w:top w:w="90" w:type="dxa"/>
              <w:start w:w="90" w:type="dxa"/>
              <w:bottom w:w="90" w:type="dxa"/>
              <w:end w:w="90" w:type="dxa"/>
            </w:tcMar>
          </w:tcPr>
          <w:p>
            <w:r>
              <w:t>22</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each for any five valid points linked to the covenant, such as God’s promises to Abraham; assurance of descendants; promise of land; relationship between God and Abraham’s descendants; basis for hope and faith; reminder of obedience; development of Abraham’s role in God’s plan.</w:t>
            </w:r>
          </w:p>
        </w:tc>
      </w:tr>
      <w:tr>
        <w:tc>
          <w:tcPr>
            <w:tcW w:type="dxa" w:w="3456"/>
            <w:tcMar>
              <w:top w:w="90" w:type="dxa"/>
              <w:start w:w="90" w:type="dxa"/>
              <w:bottom w:w="90" w:type="dxa"/>
              <w:end w:w="90" w:type="dxa"/>
            </w:tcMar>
          </w:tcPr>
          <w:p>
            <w:r>
              <w:t>23</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for each of five accurate points: Jesus and the disciples travelled by boat; Jesus fell asleep; a storm arose and endangered the boat; the disciples became afraid and woke Jesus; Jesus rebuked the wind/waves and calm followed; Jesus questioned their faith. Award a maximum of 5.</w:t>
            </w:r>
          </w:p>
        </w:tc>
      </w:tr>
      <w:tr>
        <w:tc>
          <w:tcPr>
            <w:tcW w:type="dxa" w:w="3456"/>
            <w:tcMar>
              <w:top w:w="90" w:type="dxa"/>
              <w:start w:w="90" w:type="dxa"/>
              <w:bottom w:w="90" w:type="dxa"/>
              <w:end w:w="90" w:type="dxa"/>
            </w:tcMar>
          </w:tcPr>
          <w:p>
            <w:r>
              <w:t>24</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each for five practical demonstrations of the Fruits of the Holy Spirit, e.g. showing love, maintaining joy and hope, practising peace, being patient, showing kindness, doing good, remaining faithful, being gentle, exercising self-control.</w:t>
            </w:r>
          </w:p>
        </w:tc>
      </w:tr>
      <w:tr>
        <w:tc>
          <w:tcPr>
            <w:tcW w:type="dxa" w:w="3456"/>
            <w:tcMar>
              <w:top w:w="90" w:type="dxa"/>
              <w:start w:w="90" w:type="dxa"/>
              <w:bottom w:w="90" w:type="dxa"/>
              <w:end w:w="90" w:type="dxa"/>
            </w:tcMar>
          </w:tcPr>
          <w:p>
            <w:r>
              <w:t>25</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each for five responsible responses: do not retaliate; save evidence/screenshots; block the offender; report the account/platform; tell a parent, teacher or trusted adult; adjust privacy/security settings; seek appropriate support.</w:t>
            </w:r>
          </w:p>
        </w:tc>
      </w:tr>
      <w:tr>
        <w:tc>
          <w:tcPr>
            <w:tcW w:type="dxa" w:w="3456"/>
            <w:tcMar>
              <w:top w:w="90" w:type="dxa"/>
              <w:start w:w="90" w:type="dxa"/>
              <w:bottom w:w="90" w:type="dxa"/>
              <w:end w:w="90" w:type="dxa"/>
            </w:tcMar>
          </w:tcPr>
          <w:p>
            <w:r>
              <w:t>26</w:t>
            </w:r>
          </w:p>
        </w:tc>
        <w:tc>
          <w:tcPr>
            <w:tcW w:type="dxa" w:w="3456"/>
            <w:tcMar>
              <w:top w:w="90" w:type="dxa"/>
              <w:start w:w="90" w:type="dxa"/>
              <w:bottom w:w="90" w:type="dxa"/>
              <w:end w:w="90" w:type="dxa"/>
            </w:tcMar>
          </w:tcPr>
          <w:p>
            <w:r>
              <w:t>5</w:t>
            </w:r>
          </w:p>
        </w:tc>
        <w:tc>
          <w:tcPr>
            <w:tcW w:type="dxa" w:w="3456"/>
            <w:tcMar>
              <w:top w:w="90" w:type="dxa"/>
              <w:start w:w="90" w:type="dxa"/>
              <w:bottom w:w="90" w:type="dxa"/>
              <w:end w:w="90" w:type="dxa"/>
            </w:tcMar>
          </w:tcPr>
          <w:p>
            <w:r>
              <w:t>Award 1 mark each for five relevant contributing factors, such as unintended sexual activity, lack of accurate reproductive-health information, sexual coercion or abuse, peer pressure, limited access to contraception, poverty/economic vulnerability, fear of stigma, lack of family support, or pressure from a partner. Responses should be stated as causes/factors rather than moral judgments.</w:t>
            </w:r>
          </w:p>
        </w:tc>
      </w:tr>
    </w:tbl>
    <w:p>
      <w:pPr>
        <w:pStyle w:val="Heading1"/>
      </w:pPr>
      <w:r>
        <w:t>Source-Parity Notes</w:t>
      </w:r>
    </w:p>
    <w:p>
      <w:r>
        <w:t>The source paper has no diagram-, map-, chart-, apparatus-, or illustration-dependent assessment target. The parallel paper therefore uses zero image-dependent targets.</w:t>
      </w:r>
    </w:p>
    <w:p>
      <w:r>
        <w:t>Question numbering is preserved at 1–26.</w:t>
      </w:r>
    </w:p>
    <w:p>
      <w:r>
        <w:t>Section A remains 20 marks and Section B remains 30 marks, for a total of 50 marks.</w:t>
      </w:r>
    </w:p>
    <w:p>
      <w:r>
        <w:t>The source topics are retained across creation and sin, attributes of God, redemption, Old Testament categories, Abraham, Christian love, Saul, covenant, miracles, sexual abuse, prayer, John the Baptist, Pentecost, family relationships, gambling, bullying, talent development and leisure use.</w:t>
      </w:r>
    </w:p>
    <w:p>
      <w:r>
        <w:t>Questions are freshly worded and use new situations or formulations rather than copying the source stems.</w:t>
      </w:r>
    </w:p>
    <w:sectPr w:rsidR="00FC693F" w:rsidRPr="0006063C" w:rsidSect="00034616">
      <w:headerReference w:type="default" r:id="rId9"/>
      <w:footerReference w:type="default" r:id="rId10"/>
      <w:headerReference w:type="first" r:id="rId11"/>
      <w:headerReference w:type="even" r:id="rId12"/>
      <w:footerReference w:type="first" r:id="rId13"/>
      <w:footerReference w:type="even" r:id="rId14"/>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CHRISTIAN RELIGIOUS EDUCATION  |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 xml:space="preserve">  |  GRADE 8  |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