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28"/>
        </w:rPr>
        <w:t>TERM 3 HOLIDAY ASSIGNMENT 2026</w:t>
      </w:r>
    </w:p>
    <w:p>
      <w:pPr>
        <w:spacing w:after="20"/>
        <w:jc w:val="center"/>
      </w:pPr>
      <w:r>
        <w:rPr>
          <w:rFonts w:ascii="Arial" w:hAnsi="Arial"/>
          <w:b/>
          <w:sz w:val="26"/>
        </w:rPr>
        <w:t>FORM THREE</w:t>
      </w:r>
    </w:p>
    <w:p>
      <w:pPr>
        <w:spacing w:after="20"/>
        <w:jc w:val="center"/>
      </w:pPr>
      <w:r>
        <w:rPr>
          <w:rFonts w:ascii="Arial" w:hAnsi="Arial"/>
          <w:b/>
          <w:sz w:val="26"/>
        </w:rPr>
        <w:t>AGRICULTURE PAPER 1</w:t>
      </w:r>
    </w:p>
    <w:p>
      <w:pPr>
        <w:spacing w:after="160"/>
        <w:jc w:val="center"/>
      </w:pPr>
      <w:r>
        <w:rPr>
          <w:rFonts w:ascii="Arial" w:hAnsi="Arial"/>
          <w:b/>
          <w:sz w:val="22"/>
        </w:rPr>
        <w:t>COMPLETE MARKING SCHEME &amp; EXAMINER'S RUBRIC</w:t>
      </w:r>
    </w:p>
    <w:p>
      <w:r>
        <w:rPr>
          <w:b/>
        </w:rPr>
        <w:t xml:space="preserve">Source structure note: </w:t>
      </w:r>
      <w:r>
        <w:t>The supplied source is a five-page Form Three Agriculture Paper 1. It has Sections A, B and C, with 17, 4 and 3 questions respectively; Section C requires candidates to answer any two questions. The source prints Section A as 30 marks, but its individual allocations total 31 marks; Sections A–C as printed total 90 marks. This scheme preserves the parallel paper's source architecture rather than silently changing the source totals.</w:t>
      </w:r>
    </w:p>
    <w:p>
      <w:pPr>
        <w:spacing w:after="80"/>
        <w:jc w:val="center"/>
      </w:pPr>
      <w:r>
        <w:rPr>
          <w:rFonts w:ascii="Arial" w:hAnsi="Arial"/>
          <w:b/>
          <w:sz w:val="22"/>
        </w:rPr>
        <w:t>MARKING CONVENTIONS</w:t>
      </w:r>
    </w:p>
    <w:p>
      <w:pPr>
        <w:spacing w:after="40"/>
      </w:pPr>
      <w:r>
        <w:t>• M = Method / Formula mark. Award where the correct method, formula or logical procedure is shown.</w:t>
      </w:r>
    </w:p>
    <w:p>
      <w:pPr>
        <w:spacing w:after="40"/>
      </w:pPr>
      <w:r>
        <w:t>• A = Accuracy / Answer mark. Award for a correct numerical result or technically correct final response.</w:t>
      </w:r>
    </w:p>
    <w:p>
      <w:pPr>
        <w:spacing w:after="40"/>
      </w:pPr>
      <w:r>
        <w:t>• C = Curriculum point / Concept mark. Award for a correct syllabus-specific fact, explanation, identification or valid point.</w:t>
      </w:r>
    </w:p>
    <w:p>
      <w:pPr>
        <w:spacing w:after="40"/>
      </w:pPr>
      <w:r>
        <w:t>• For list/state/name questions, award the stated mark for each correct independent point up to the question maximum.</w:t>
      </w:r>
    </w:p>
    <w:p>
      <w:pPr>
        <w:spacing w:after="40"/>
      </w:pPr>
      <w:r>
        <w:t>• Equivalent technically correct wording should be accepted where it expresses the same curriculum concept.</w:t>
      </w:r>
    </w:p>
    <w:p>
      <w:pPr>
        <w:spacing w:after="40"/>
      </w:pPr>
      <w:r>
        <w:t>• For calculations, working should normally be shown where the question requests it; do not award the A mark if the final answer is unsupported by a required calculation.</w:t>
      </w:r>
    </w:p>
    <w:p>
      <w:pPr>
        <w:spacing w:after="80"/>
        <w:jc w:val="center"/>
      </w:pPr>
      <w:r>
        <w:rPr>
          <w:rFonts w:ascii="Arial" w:hAnsi="Arial"/>
          <w:b/>
          <w:sz w:val="24"/>
        </w:rPr>
        <w:t>SECTION A</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vAlign w:val="center"/>
            <w:shd w:fill="D9EAF7"/>
          </w:tcPr>
          <w:p>
            <w:pPr>
              <w:spacing w:after="0"/>
            </w:pPr>
            <w:r/>
            <w:r>
              <w:rPr>
                <w:b/>
                <w:sz w:val="17"/>
              </w:rPr>
              <w:t>Qn.</w:t>
            </w:r>
          </w:p>
        </w:tc>
        <w:tc>
          <w:tcPr>
            <w:tcW w:type="dxa" w:w="2592"/>
            <w:vAlign w:val="center"/>
            <w:shd w:fill="D9EAF7"/>
          </w:tcPr>
          <w:p>
            <w:pPr>
              <w:spacing w:after="0"/>
            </w:pPr>
            <w:r/>
            <w:r>
              <w:rPr>
                <w:b/>
                <w:sz w:val="17"/>
              </w:rPr>
              <w:t>Expected response / key</w:t>
            </w:r>
          </w:p>
        </w:tc>
        <w:tc>
          <w:tcPr>
            <w:tcW w:type="dxa" w:w="2592"/>
            <w:vAlign w:val="center"/>
            <w:shd w:fill="D9EAF7"/>
          </w:tcPr>
          <w:p>
            <w:pPr>
              <w:spacing w:after="0"/>
            </w:pPr>
            <w:r/>
            <w:r>
              <w:rPr>
                <w:b/>
                <w:sz w:val="17"/>
              </w:rPr>
              <w:t>Code</w:t>
            </w:r>
          </w:p>
        </w:tc>
        <w:tc>
          <w:tcPr>
            <w:tcW w:type="dxa" w:w="2592"/>
            <w:vAlign w:val="center"/>
            <w:shd w:fill="D9EAF7"/>
          </w:tcPr>
          <w:p>
            <w:pPr>
              <w:spacing w:after="0"/>
            </w:pPr>
            <w:r/>
            <w:r>
              <w:rPr>
                <w:b/>
                <w:sz w:val="17"/>
              </w:rPr>
              <w:t>Scoring</w:t>
            </w:r>
          </w:p>
        </w:tc>
      </w:tr>
      <w:tr>
        <w:tc>
          <w:tcPr>
            <w:tcW w:type="dxa" w:w="2592"/>
            <w:vAlign w:val="center"/>
          </w:tcPr>
          <w:p>
            <w:pPr>
              <w:spacing w:after="0"/>
            </w:pPr>
            <w:r/>
            <w:r>
              <w:rPr>
                <w:b w:val="0"/>
                <w:sz w:val="17"/>
              </w:rPr>
              <w:t>1</w:t>
            </w:r>
          </w:p>
        </w:tc>
        <w:tc>
          <w:tcPr>
            <w:tcW w:type="dxa" w:w="2592"/>
            <w:vAlign w:val="center"/>
          </w:tcPr>
          <w:p>
            <w:pPr>
              <w:spacing w:after="0"/>
            </w:pPr>
            <w:r/>
            <w:r>
              <w:rPr>
                <w:b w:val="0"/>
                <w:sz w:val="17"/>
              </w:rPr>
              <w:t>Any three: temperature; rainfall; humidity; wind; light; atmospheric pressure; carbon dioxide concentration.</w:t>
            </w:r>
          </w:p>
        </w:tc>
        <w:tc>
          <w:tcPr>
            <w:tcW w:type="dxa" w:w="2592"/>
            <w:vAlign w:val="center"/>
          </w:tcPr>
          <w:p>
            <w:pPr>
              <w:spacing w:after="0"/>
            </w:pPr>
            <w:r/>
            <w:r>
              <w:rPr>
                <w:b w:val="0"/>
                <w:sz w:val="17"/>
              </w:rPr>
              <w:t>C×3</w:t>
            </w:r>
          </w:p>
        </w:tc>
        <w:tc>
          <w:tcPr>
            <w:tcW w:type="dxa" w:w="2592"/>
            <w:vAlign w:val="center"/>
          </w:tcPr>
          <w:p>
            <w:pPr>
              <w:spacing w:after="0"/>
            </w:pPr>
            <w:r/>
            <w:r>
              <w:rPr>
                <w:b w:val="0"/>
                <w:sz w:val="17"/>
              </w:rPr>
              <w:t>½ mark each.</w:t>
            </w:r>
          </w:p>
        </w:tc>
      </w:tr>
      <w:tr>
        <w:tc>
          <w:tcPr>
            <w:tcW w:type="dxa" w:w="2592"/>
            <w:vAlign w:val="center"/>
          </w:tcPr>
          <w:p>
            <w:pPr>
              <w:spacing w:after="0"/>
            </w:pPr>
            <w:r/>
            <w:r>
              <w:rPr>
                <w:b w:val="0"/>
                <w:sz w:val="17"/>
              </w:rPr>
              <w:t>2</w:t>
            </w:r>
          </w:p>
        </w:tc>
        <w:tc>
          <w:tcPr>
            <w:tcW w:type="dxa" w:w="2592"/>
            <w:vAlign w:val="center"/>
          </w:tcPr>
          <w:p>
            <w:pPr>
              <w:spacing w:after="0"/>
            </w:pPr>
            <w:r/>
            <w:r>
              <w:rPr>
                <w:b w:val="0"/>
                <w:sz w:val="17"/>
              </w:rPr>
              <w:t>Leaching; soil erosion; crop removal/harvesting; volatilisation; fixation/immobilisation; denitrification; burning/biological removal where applicable.</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3</w:t>
            </w:r>
          </w:p>
        </w:tc>
        <w:tc>
          <w:tcPr>
            <w:tcW w:type="dxa" w:w="2592"/>
            <w:vAlign w:val="center"/>
          </w:tcPr>
          <w:p>
            <w:pPr>
              <w:spacing w:after="0"/>
            </w:pPr>
            <w:r/>
            <w:r>
              <w:rPr>
                <w:b w:val="0"/>
                <w:sz w:val="17"/>
              </w:rPr>
              <w:t>Intensity; duration/photoperiod; quality/wavelength.</w:t>
            </w:r>
          </w:p>
        </w:tc>
        <w:tc>
          <w:tcPr>
            <w:tcW w:type="dxa" w:w="2592"/>
            <w:vAlign w:val="center"/>
          </w:tcPr>
          <w:p>
            <w:pPr>
              <w:spacing w:after="0"/>
            </w:pPr>
            <w:r/>
            <w:r>
              <w:rPr>
                <w:b w:val="0"/>
                <w:sz w:val="17"/>
              </w:rPr>
              <w:t>C×3</w:t>
            </w:r>
          </w:p>
        </w:tc>
        <w:tc>
          <w:tcPr>
            <w:tcW w:type="dxa" w:w="2592"/>
            <w:vAlign w:val="center"/>
          </w:tcPr>
          <w:p>
            <w:pPr>
              <w:spacing w:after="0"/>
            </w:pPr>
            <w:r/>
            <w:r>
              <w:rPr>
                <w:b w:val="0"/>
                <w:sz w:val="17"/>
              </w:rPr>
              <w:t>½ mark each.</w:t>
            </w:r>
          </w:p>
        </w:tc>
      </w:tr>
      <w:tr>
        <w:tc>
          <w:tcPr>
            <w:tcW w:type="dxa" w:w="2592"/>
            <w:vAlign w:val="center"/>
          </w:tcPr>
          <w:p>
            <w:pPr>
              <w:spacing w:after="0"/>
            </w:pPr>
            <w:r/>
            <w:r>
              <w:rPr>
                <w:b w:val="0"/>
                <w:sz w:val="17"/>
              </w:rPr>
              <w:t>4</w:t>
            </w:r>
          </w:p>
        </w:tc>
        <w:tc>
          <w:tcPr>
            <w:tcW w:type="dxa" w:w="2592"/>
            <w:vAlign w:val="center"/>
          </w:tcPr>
          <w:p>
            <w:pPr>
              <w:spacing w:after="0"/>
            </w:pPr>
            <w:r/>
            <w:r>
              <w:rPr>
                <w:b w:val="0"/>
                <w:sz w:val="17"/>
              </w:rPr>
              <w:t>Any two: centrifugal pump; reciprocating pump; diaphragm pump; rotary pump; submersible pump; turbine pump.</w:t>
            </w:r>
          </w:p>
        </w:tc>
        <w:tc>
          <w:tcPr>
            <w:tcW w:type="dxa" w:w="2592"/>
            <w:vAlign w:val="center"/>
          </w:tcPr>
          <w:p>
            <w:pPr>
              <w:spacing w:after="0"/>
            </w:pPr>
            <w:r/>
            <w:r>
              <w:rPr>
                <w:b w:val="0"/>
                <w:sz w:val="17"/>
              </w:rPr>
              <w:t>C×2</w:t>
            </w:r>
          </w:p>
        </w:tc>
        <w:tc>
          <w:tcPr>
            <w:tcW w:type="dxa" w:w="2592"/>
            <w:vAlign w:val="center"/>
          </w:tcPr>
          <w:p>
            <w:pPr>
              <w:spacing w:after="0"/>
            </w:pPr>
            <w:r/>
            <w:r>
              <w:rPr>
                <w:b w:val="0"/>
                <w:sz w:val="17"/>
              </w:rPr>
              <w:t>½ mark each.</w:t>
            </w:r>
          </w:p>
        </w:tc>
      </w:tr>
      <w:tr>
        <w:tc>
          <w:tcPr>
            <w:tcW w:type="dxa" w:w="2592"/>
            <w:vAlign w:val="center"/>
          </w:tcPr>
          <w:p>
            <w:pPr>
              <w:spacing w:after="0"/>
            </w:pPr>
            <w:r/>
            <w:r>
              <w:rPr>
                <w:b w:val="0"/>
                <w:sz w:val="17"/>
              </w:rPr>
              <w:t>5</w:t>
            </w:r>
          </w:p>
        </w:tc>
        <w:tc>
          <w:tcPr>
            <w:tcW w:type="dxa" w:w="2592"/>
            <w:vAlign w:val="center"/>
          </w:tcPr>
          <w:p>
            <w:pPr>
              <w:spacing w:after="0"/>
            </w:pPr>
            <w:r/>
            <w:r>
              <w:rPr>
                <w:b w:val="0"/>
                <w:sz w:val="17"/>
              </w:rPr>
              <w:t>Rapid growing; high biomass/yield; succulent/soft tissue; high nutrient content, especially nitrogen; easy to establish; capable of rapid decomposition; deep/rooting ability where appropriate.</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6</w:t>
            </w:r>
          </w:p>
        </w:tc>
        <w:tc>
          <w:tcPr>
            <w:tcW w:type="dxa" w:w="2592"/>
            <w:vAlign w:val="center"/>
          </w:tcPr>
          <w:p>
            <w:pPr>
              <w:spacing w:after="0"/>
            </w:pPr>
            <w:r/>
            <w:r>
              <w:rPr>
                <w:b w:val="0"/>
                <w:sz w:val="17"/>
              </w:rPr>
              <w:t>Improves water-holding capacity; improves aggregation/structure; increases nutrient-holding capacity/CEC; reduces leaching; increases microbial activity; improves nutrient supply; reduces erosion; improves moisture retention.</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7</w:t>
            </w:r>
          </w:p>
        </w:tc>
        <w:tc>
          <w:tcPr>
            <w:tcW w:type="dxa" w:w="2592"/>
            <w:vAlign w:val="center"/>
          </w:tcPr>
          <w:p>
            <w:pPr>
              <w:spacing w:after="0"/>
            </w:pPr>
            <w:r/>
            <w:r>
              <w:rPr>
                <w:b w:val="0"/>
                <w:sz w:val="17"/>
              </w:rPr>
              <w:t>Calcium deficiency in developing fruit; irregular/insufficient water supply causing poor calcium movement; excessive nitrogen/salt effects may aggravate the disorder.</w:t>
            </w:r>
          </w:p>
        </w:tc>
        <w:tc>
          <w:tcPr>
            <w:tcW w:type="dxa" w:w="2592"/>
            <w:vAlign w:val="center"/>
          </w:tcPr>
          <w:p>
            <w:pPr>
              <w:spacing w:after="0"/>
            </w:pPr>
            <w:r/>
            <w:r>
              <w:rPr>
                <w:b w:val="0"/>
                <w:sz w:val="17"/>
              </w:rPr>
              <w:t>C×3</w:t>
            </w:r>
          </w:p>
        </w:tc>
        <w:tc>
          <w:tcPr>
            <w:tcW w:type="dxa" w:w="2592"/>
            <w:vAlign w:val="center"/>
          </w:tcPr>
          <w:p>
            <w:pPr>
              <w:spacing w:after="0"/>
            </w:pPr>
            <w:r/>
            <w:r>
              <w:rPr>
                <w:b w:val="0"/>
                <w:sz w:val="17"/>
              </w:rPr>
              <w:t>½ mark each; maximum 1½.</w:t>
            </w:r>
          </w:p>
        </w:tc>
      </w:tr>
      <w:tr>
        <w:tc>
          <w:tcPr>
            <w:tcW w:type="dxa" w:w="2592"/>
            <w:vAlign w:val="center"/>
          </w:tcPr>
          <w:p>
            <w:pPr>
              <w:spacing w:after="0"/>
            </w:pPr>
            <w:r/>
            <w:r>
              <w:rPr>
                <w:b w:val="0"/>
                <w:sz w:val="17"/>
              </w:rPr>
              <w:t>8</w:t>
            </w:r>
          </w:p>
        </w:tc>
        <w:tc>
          <w:tcPr>
            <w:tcW w:type="dxa" w:w="2592"/>
            <w:vAlign w:val="center"/>
          </w:tcPr>
          <w:p>
            <w:pPr>
              <w:spacing w:after="0"/>
            </w:pPr>
            <w:r/>
            <w:r>
              <w:rPr>
                <w:b w:val="0"/>
                <w:sz w:val="17"/>
              </w:rPr>
              <w:t>To determine nutrient status/fertility; determine soil pH; guide fertilizer/manure recommendations; identify possible deficiencies or salinity/other soil problems.</w:t>
            </w:r>
          </w:p>
        </w:tc>
        <w:tc>
          <w:tcPr>
            <w:tcW w:type="dxa" w:w="2592"/>
            <w:vAlign w:val="center"/>
          </w:tcPr>
          <w:p>
            <w:pPr>
              <w:spacing w:after="0"/>
            </w:pPr>
            <w:r/>
            <w:r>
              <w:rPr>
                <w:b w:val="0"/>
                <w:sz w:val="17"/>
              </w:rPr>
              <w:t>C×2</w:t>
            </w:r>
          </w:p>
        </w:tc>
        <w:tc>
          <w:tcPr>
            <w:tcW w:type="dxa" w:w="2592"/>
            <w:vAlign w:val="center"/>
          </w:tcPr>
          <w:p>
            <w:pPr>
              <w:spacing w:after="0"/>
            </w:pPr>
            <w:r/>
            <w:r>
              <w:rPr>
                <w:b w:val="0"/>
                <w:sz w:val="17"/>
              </w:rPr>
              <w:t>½ mark each; maximum 1.</w:t>
            </w:r>
          </w:p>
        </w:tc>
      </w:tr>
      <w:tr>
        <w:tc>
          <w:tcPr>
            <w:tcW w:type="dxa" w:w="2592"/>
            <w:vAlign w:val="center"/>
          </w:tcPr>
          <w:p>
            <w:pPr>
              <w:spacing w:after="0"/>
            </w:pPr>
            <w:r/>
            <w:r>
              <w:rPr>
                <w:b w:val="0"/>
                <w:sz w:val="17"/>
              </w:rPr>
              <w:t>9</w:t>
            </w:r>
          </w:p>
        </w:tc>
        <w:tc>
          <w:tcPr>
            <w:tcW w:type="dxa" w:w="2592"/>
            <w:vAlign w:val="center"/>
          </w:tcPr>
          <w:p>
            <w:pPr>
              <w:spacing w:after="0"/>
            </w:pPr>
            <w:r/>
            <w:r>
              <w:rPr>
                <w:b w:val="0"/>
                <w:sz w:val="17"/>
              </w:rPr>
              <w:t>Contain phosphorus as a major nutrient; generally low solubility for some natural phosphates; promote root development; support early crop establishment; may be applied to supply P; examples include single superphosphate, triple superphosphate, DAP/TSP depending on classification.</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10</w:t>
            </w:r>
          </w:p>
        </w:tc>
        <w:tc>
          <w:tcPr>
            <w:tcW w:type="dxa" w:w="2592"/>
            <w:vAlign w:val="center"/>
          </w:tcPr>
          <w:p>
            <w:pPr>
              <w:spacing w:after="0"/>
            </w:pPr>
            <w:r/>
            <w:r>
              <w:rPr>
                <w:b w:val="0"/>
                <w:sz w:val="17"/>
              </w:rPr>
              <w:t>Area = 0.72 ha × 10,000 = 7,200 m². Spacing area = 0.90 × 0.40 = 0.36 m². Population = 7,200 ÷ 0.36 = 20,000 plants.</w:t>
            </w:r>
          </w:p>
        </w:tc>
        <w:tc>
          <w:tcPr>
            <w:tcW w:type="dxa" w:w="2592"/>
            <w:vAlign w:val="center"/>
          </w:tcPr>
          <w:p>
            <w:pPr>
              <w:spacing w:after="0"/>
            </w:pPr>
            <w:r/>
            <w:r>
              <w:rPr>
                <w:b w:val="0"/>
                <w:sz w:val="17"/>
              </w:rPr>
              <w:t>M + M + A</w:t>
            </w:r>
          </w:p>
        </w:tc>
        <w:tc>
          <w:tcPr>
            <w:tcW w:type="dxa" w:w="2592"/>
            <w:vAlign w:val="center"/>
          </w:tcPr>
          <w:p>
            <w:pPr>
              <w:spacing w:after="0"/>
            </w:pPr>
            <w:r/>
            <w:r>
              <w:rPr>
                <w:b w:val="0"/>
                <w:sz w:val="17"/>
              </w:rPr>
              <w:t>1 mark area conversion; 1 mark spacing-area calculation; 1 mark final answer.</w:t>
            </w:r>
          </w:p>
        </w:tc>
      </w:tr>
      <w:tr>
        <w:tc>
          <w:tcPr>
            <w:tcW w:type="dxa" w:w="2592"/>
            <w:vAlign w:val="center"/>
          </w:tcPr>
          <w:p>
            <w:pPr>
              <w:spacing w:after="0"/>
            </w:pPr>
            <w:r/>
            <w:r>
              <w:rPr>
                <w:b w:val="0"/>
                <w:sz w:val="17"/>
              </w:rPr>
              <w:t>11</w:t>
            </w:r>
          </w:p>
        </w:tc>
        <w:tc>
          <w:tcPr>
            <w:tcW w:type="dxa" w:w="2592"/>
            <w:vAlign w:val="center"/>
          </w:tcPr>
          <w:p>
            <w:pPr>
              <w:spacing w:after="0"/>
            </w:pPr>
            <w:r/>
            <w:r>
              <w:rPr>
                <w:b w:val="0"/>
                <w:sz w:val="17"/>
              </w:rPr>
              <w:t>Any three: scarification; soaking in water; heat treatment; stratification; chemical treatment; removal of seed coat; exposure to light/dark where appropriate.</w:t>
            </w:r>
          </w:p>
        </w:tc>
        <w:tc>
          <w:tcPr>
            <w:tcW w:type="dxa" w:w="2592"/>
            <w:vAlign w:val="center"/>
          </w:tcPr>
          <w:p>
            <w:pPr>
              <w:spacing w:after="0"/>
            </w:pPr>
            <w:r/>
            <w:r>
              <w:rPr>
                <w:b w:val="0"/>
                <w:sz w:val="17"/>
              </w:rPr>
              <w:t>C×3</w:t>
            </w:r>
          </w:p>
        </w:tc>
        <w:tc>
          <w:tcPr>
            <w:tcW w:type="dxa" w:w="2592"/>
            <w:vAlign w:val="center"/>
          </w:tcPr>
          <w:p>
            <w:pPr>
              <w:spacing w:after="0"/>
            </w:pPr>
            <w:r/>
            <w:r>
              <w:rPr>
                <w:b w:val="0"/>
                <w:sz w:val="17"/>
              </w:rPr>
              <w:t>½ mark each.</w:t>
            </w:r>
          </w:p>
        </w:tc>
      </w:tr>
      <w:tr>
        <w:tc>
          <w:tcPr>
            <w:tcW w:type="dxa" w:w="2592"/>
            <w:vAlign w:val="center"/>
          </w:tcPr>
          <w:p>
            <w:pPr>
              <w:spacing w:after="0"/>
            </w:pPr>
            <w:r/>
            <w:r>
              <w:rPr>
                <w:b w:val="0"/>
                <w:sz w:val="17"/>
              </w:rPr>
              <w:t>12(i)</w:t>
            </w:r>
          </w:p>
        </w:tc>
        <w:tc>
          <w:tcPr>
            <w:tcW w:type="dxa" w:w="2592"/>
            <w:vAlign w:val="center"/>
          </w:tcPr>
          <w:p>
            <w:pPr>
              <w:spacing w:after="0"/>
            </w:pPr>
            <w:r/>
            <w:r>
              <w:rPr>
                <w:b w:val="0"/>
                <w:sz w:val="17"/>
              </w:rPr>
              <w:t>To reduce overcrowding; provide more growing space; allow stronger seedlings to develop; facilitate root development before transplanting.</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12(ii)</w:t>
            </w:r>
          </w:p>
        </w:tc>
        <w:tc>
          <w:tcPr>
            <w:tcW w:type="dxa" w:w="2592"/>
            <w:vAlign w:val="center"/>
          </w:tcPr>
          <w:p>
            <w:pPr>
              <w:spacing w:after="0"/>
            </w:pPr>
            <w:r/>
            <w:r>
              <w:rPr>
                <w:b w:val="0"/>
                <w:sz w:val="17"/>
              </w:rPr>
              <w:t>To acclimatise seedlings gradually to field conditions; reduce transplanting shock; prepare seedlings for stronger sunlight/wind/water conditions.</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13</w:t>
            </w:r>
          </w:p>
        </w:tc>
        <w:tc>
          <w:tcPr>
            <w:tcW w:type="dxa" w:w="2592"/>
            <w:vAlign w:val="center"/>
          </w:tcPr>
          <w:p>
            <w:pPr>
              <w:spacing w:after="0"/>
            </w:pPr>
            <w:r/>
            <w:r>
              <w:rPr>
                <w:b w:val="0"/>
                <w:sz w:val="17"/>
              </w:rPr>
              <w:t>Running water; wind; moving ice/glaciers; waves/sea water; human activities where accepted as an agent/contributor depending on marking interpretation.</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14(i)</w:t>
            </w:r>
          </w:p>
        </w:tc>
        <w:tc>
          <w:tcPr>
            <w:tcW w:type="dxa" w:w="2592"/>
            <w:vAlign w:val="center"/>
          </w:tcPr>
          <w:p>
            <w:pPr>
              <w:spacing w:after="0"/>
            </w:pPr>
            <w:r/>
            <w:r>
              <w:rPr>
                <w:b w:val="0"/>
                <w:sz w:val="17"/>
              </w:rPr>
              <w:t>Afforestation: establishment/planting of trees on land that has not recently been under forest or has not previously had forest cover.</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14(ii)</w:t>
            </w:r>
          </w:p>
        </w:tc>
        <w:tc>
          <w:tcPr>
            <w:tcW w:type="dxa" w:w="2592"/>
            <w:vAlign w:val="center"/>
          </w:tcPr>
          <w:p>
            <w:pPr>
              <w:spacing w:after="0"/>
            </w:pPr>
            <w:r/>
            <w:r>
              <w:rPr>
                <w:b w:val="0"/>
                <w:sz w:val="17"/>
              </w:rPr>
              <w:t>Re-afforestation/reforestation: re-establishment of trees on land where a forest has previously been cleared or destroyed.</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15</w:t>
            </w:r>
          </w:p>
        </w:tc>
        <w:tc>
          <w:tcPr>
            <w:tcW w:type="dxa" w:w="2592"/>
            <w:vAlign w:val="center"/>
          </w:tcPr>
          <w:p>
            <w:pPr>
              <w:spacing w:after="0"/>
            </w:pPr>
            <w:r/>
            <w:r>
              <w:rPr>
                <w:b w:val="0"/>
                <w:sz w:val="17"/>
              </w:rPr>
              <w:t>Bench terraces; broad-based terraces; narrow-based terraces; fanya juu; fanya chini; grassed waterways/terrace forms where accepted by curriculum classification.</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16</w:t>
            </w:r>
          </w:p>
        </w:tc>
        <w:tc>
          <w:tcPr>
            <w:tcW w:type="dxa" w:w="2592"/>
            <w:vAlign w:val="center"/>
          </w:tcPr>
          <w:p>
            <w:pPr>
              <w:spacing w:after="0"/>
            </w:pPr>
            <w:r/>
            <w:r>
              <w:rPr>
                <w:b w:val="0"/>
                <w:sz w:val="17"/>
              </w:rPr>
              <w:t>Proof of ownership; used as security/collateral for loans; assists in transfer/sale; protects against ownership disputes; facilitates compensation; helps inheritance/administration; demonstrates legal tenure.</w:t>
            </w:r>
          </w:p>
        </w:tc>
        <w:tc>
          <w:tcPr>
            <w:tcW w:type="dxa" w:w="2592"/>
            <w:vAlign w:val="center"/>
          </w:tcPr>
          <w:p>
            <w:pPr>
              <w:spacing w:after="0"/>
            </w:pPr>
            <w:r/>
            <w:r>
              <w:rPr>
                <w:b w:val="0"/>
                <w:sz w:val="17"/>
              </w:rPr>
              <w:t>C×4</w:t>
            </w:r>
          </w:p>
        </w:tc>
        <w:tc>
          <w:tcPr>
            <w:tcW w:type="dxa" w:w="2592"/>
            <w:vAlign w:val="center"/>
          </w:tcPr>
          <w:p>
            <w:pPr>
              <w:spacing w:after="0"/>
            </w:pPr>
            <w:r/>
            <w:r>
              <w:rPr>
                <w:b w:val="0"/>
                <w:sz w:val="17"/>
              </w:rPr>
              <w:t>½ mark each; maximum 2.</w:t>
            </w:r>
          </w:p>
        </w:tc>
      </w:tr>
      <w:tr>
        <w:tc>
          <w:tcPr>
            <w:tcW w:type="dxa" w:w="2592"/>
            <w:vAlign w:val="center"/>
          </w:tcPr>
          <w:p>
            <w:pPr>
              <w:spacing w:after="0"/>
            </w:pPr>
            <w:r/>
            <w:r>
              <w:rPr>
                <w:b w:val="0"/>
                <w:sz w:val="17"/>
              </w:rPr>
              <w:t>17</w:t>
            </w:r>
          </w:p>
        </w:tc>
        <w:tc>
          <w:tcPr>
            <w:tcW w:type="dxa" w:w="2592"/>
            <w:vAlign w:val="center"/>
          </w:tcPr>
          <w:p>
            <w:pPr>
              <w:spacing w:after="0"/>
            </w:pPr>
            <w:r/>
            <w:r>
              <w:rPr>
                <w:b w:val="0"/>
                <w:sz w:val="17"/>
              </w:rPr>
              <w:t>Co-operative/group/communal forms of land tenure as recognized in the syllabus; group ranches; community/collective ownership where accepted.</w:t>
            </w:r>
          </w:p>
        </w:tc>
        <w:tc>
          <w:tcPr>
            <w:tcW w:type="dxa" w:w="2592"/>
            <w:vAlign w:val="center"/>
          </w:tcPr>
          <w:p>
            <w:pPr>
              <w:spacing w:after="0"/>
            </w:pPr>
            <w:r/>
            <w:r>
              <w:rPr>
                <w:b w:val="0"/>
                <w:sz w:val="17"/>
              </w:rPr>
              <w:t>C×2</w:t>
            </w:r>
          </w:p>
        </w:tc>
        <w:tc>
          <w:tcPr>
            <w:tcW w:type="dxa" w:w="2592"/>
            <w:vAlign w:val="center"/>
          </w:tcPr>
          <w:p>
            <w:pPr>
              <w:spacing w:after="0"/>
            </w:pPr>
            <w:r/>
            <w:r>
              <w:rPr>
                <w:b w:val="0"/>
                <w:sz w:val="17"/>
              </w:rPr>
              <w:t>1 mark each for two valid forms.</w:t>
            </w:r>
          </w:p>
        </w:tc>
      </w:tr>
    </w:tbl>
    <w:p>
      <w:pPr>
        <w:spacing w:after="20"/>
      </w:pPr>
    </w:p>
    <w:p>
      <w:pPr>
        <w:spacing w:after="120"/>
        <w:jc w:val="center"/>
      </w:pPr>
      <w:r>
        <w:rPr>
          <w:rFonts w:ascii="Arial" w:hAnsi="Arial"/>
          <w:b/>
          <w:sz w:val="24"/>
        </w:rPr>
        <w:t>SECTION B</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vAlign w:val="center"/>
            <w:shd w:fill="D9EAF7"/>
          </w:tcPr>
          <w:p>
            <w:pPr>
              <w:spacing w:after="0"/>
            </w:pPr>
            <w:r/>
            <w:r>
              <w:rPr>
                <w:b/>
                <w:sz w:val="17"/>
              </w:rPr>
              <w:t>Qn.</w:t>
            </w:r>
          </w:p>
        </w:tc>
        <w:tc>
          <w:tcPr>
            <w:tcW w:type="dxa" w:w="2592"/>
            <w:vAlign w:val="center"/>
            <w:shd w:fill="D9EAF7"/>
          </w:tcPr>
          <w:p>
            <w:pPr>
              <w:spacing w:after="0"/>
            </w:pPr>
            <w:r/>
            <w:r>
              <w:rPr>
                <w:b/>
                <w:sz w:val="17"/>
              </w:rPr>
              <w:t>Expected response / key</w:t>
            </w:r>
          </w:p>
        </w:tc>
        <w:tc>
          <w:tcPr>
            <w:tcW w:type="dxa" w:w="2592"/>
            <w:vAlign w:val="center"/>
            <w:shd w:fill="D9EAF7"/>
          </w:tcPr>
          <w:p>
            <w:pPr>
              <w:spacing w:after="0"/>
            </w:pPr>
            <w:r/>
            <w:r>
              <w:rPr>
                <w:b/>
                <w:sz w:val="17"/>
              </w:rPr>
              <w:t>Code</w:t>
            </w:r>
          </w:p>
        </w:tc>
        <w:tc>
          <w:tcPr>
            <w:tcW w:type="dxa" w:w="2592"/>
            <w:vAlign w:val="center"/>
            <w:shd w:fill="D9EAF7"/>
          </w:tcPr>
          <w:p>
            <w:pPr>
              <w:spacing w:after="0"/>
            </w:pPr>
            <w:r/>
            <w:r>
              <w:rPr>
                <w:b/>
                <w:sz w:val="17"/>
              </w:rPr>
              <w:t>Scoring</w:t>
            </w:r>
          </w:p>
        </w:tc>
      </w:tr>
      <w:tr>
        <w:tc>
          <w:tcPr>
            <w:tcW w:type="dxa" w:w="2592"/>
            <w:vAlign w:val="center"/>
          </w:tcPr>
          <w:p>
            <w:pPr>
              <w:spacing w:after="0"/>
            </w:pPr>
            <w:r/>
            <w:r>
              <w:rPr>
                <w:b w:val="0"/>
                <w:sz w:val="17"/>
              </w:rPr>
              <w:t>18(a)</w:t>
            </w:r>
          </w:p>
        </w:tc>
        <w:tc>
          <w:tcPr>
            <w:tcW w:type="dxa" w:w="2592"/>
            <w:vAlign w:val="center"/>
          </w:tcPr>
          <w:p>
            <w:pPr>
              <w:spacing w:after="0"/>
            </w:pPr>
            <w:r/>
            <w:r>
              <w:rPr>
                <w:b w:val="0"/>
                <w:sz w:val="17"/>
              </w:rPr>
              <w:t>Straight fertilizer contains one major nutrient (or primarily one nutrient), whereas compound fertilizer contains two or more major plant nutrients chemically combined in each granule/particle.</w:t>
            </w:r>
          </w:p>
        </w:tc>
        <w:tc>
          <w:tcPr>
            <w:tcW w:type="dxa" w:w="2592"/>
            <w:vAlign w:val="center"/>
          </w:tcPr>
          <w:p>
            <w:pPr>
              <w:spacing w:after="0"/>
            </w:pPr>
            <w:r/>
            <w:r>
              <w:rPr>
                <w:b w:val="0"/>
                <w:sz w:val="17"/>
              </w:rPr>
              <w:t>C×2</w:t>
            </w:r>
          </w:p>
        </w:tc>
        <w:tc>
          <w:tcPr>
            <w:tcW w:type="dxa" w:w="2592"/>
            <w:vAlign w:val="center"/>
          </w:tcPr>
          <w:p>
            <w:pPr>
              <w:spacing w:after="0"/>
            </w:pPr>
            <w:r/>
            <w:r>
              <w:rPr>
                <w:b w:val="0"/>
                <w:sz w:val="17"/>
              </w:rPr>
              <w:t>1 mark for each correct distinction.</w:t>
            </w:r>
          </w:p>
        </w:tc>
      </w:tr>
      <w:tr>
        <w:tc>
          <w:tcPr>
            <w:tcW w:type="dxa" w:w="2592"/>
            <w:vAlign w:val="center"/>
          </w:tcPr>
          <w:p>
            <w:pPr>
              <w:spacing w:after="0"/>
            </w:pPr>
            <w:r/>
            <w:r>
              <w:rPr>
                <w:b w:val="0"/>
                <w:sz w:val="17"/>
              </w:rPr>
              <w:t>18(b)</w:t>
            </w:r>
          </w:p>
        </w:tc>
        <w:tc>
          <w:tcPr>
            <w:tcW w:type="dxa" w:w="2592"/>
            <w:vAlign w:val="center"/>
          </w:tcPr>
          <w:p>
            <w:pPr>
              <w:spacing w:after="0"/>
            </w:pPr>
            <w:r/>
            <w:r>
              <w:rPr>
                <w:b w:val="0"/>
                <w:sz w:val="17"/>
              </w:rPr>
              <w:t>Total CAN = 150 kg × 4 ha = 600 kg. Nitrogen = 20% × 600 = 120 kg N.</w:t>
            </w:r>
          </w:p>
        </w:tc>
        <w:tc>
          <w:tcPr>
            <w:tcW w:type="dxa" w:w="2592"/>
            <w:vAlign w:val="center"/>
          </w:tcPr>
          <w:p>
            <w:pPr>
              <w:spacing w:after="0"/>
            </w:pPr>
            <w:r/>
            <w:r>
              <w:rPr>
                <w:b w:val="0"/>
                <w:sz w:val="17"/>
              </w:rPr>
              <w:t>M×2 + A</w:t>
            </w:r>
          </w:p>
        </w:tc>
        <w:tc>
          <w:tcPr>
            <w:tcW w:type="dxa" w:w="2592"/>
            <w:vAlign w:val="center"/>
          </w:tcPr>
          <w:p>
            <w:pPr>
              <w:spacing w:after="0"/>
            </w:pPr>
            <w:r/>
            <w:r>
              <w:rPr>
                <w:b w:val="0"/>
                <w:sz w:val="17"/>
              </w:rPr>
              <w:t>1 M for total fertilizer; 1 M for applying 20%; 1 A for 120 kg N.</w:t>
            </w:r>
          </w:p>
        </w:tc>
      </w:tr>
      <w:tr>
        <w:tc>
          <w:tcPr>
            <w:tcW w:type="dxa" w:w="2592"/>
            <w:vAlign w:val="center"/>
          </w:tcPr>
          <w:p>
            <w:pPr>
              <w:spacing w:after="0"/>
            </w:pPr>
            <w:r/>
            <w:r>
              <w:rPr>
                <w:b w:val="0"/>
                <w:sz w:val="17"/>
              </w:rPr>
              <w:t>19(i)</w:t>
            </w:r>
          </w:p>
        </w:tc>
        <w:tc>
          <w:tcPr>
            <w:tcW w:type="dxa" w:w="2592"/>
            <w:vAlign w:val="center"/>
          </w:tcPr>
          <w:p>
            <w:pPr>
              <w:spacing w:after="0"/>
            </w:pPr>
            <w:r/>
            <w:r>
              <w:rPr>
                <w:b w:val="0"/>
                <w:sz w:val="17"/>
              </w:rPr>
              <w:t>Zig-zag/W-shaped soil sampling method (systematic zig-zag sampling).</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19(ii)</w:t>
            </w:r>
          </w:p>
        </w:tc>
        <w:tc>
          <w:tcPr>
            <w:tcW w:type="dxa" w:w="2592"/>
            <w:vAlign w:val="center"/>
          </w:tcPr>
          <w:p>
            <w:pPr>
              <w:spacing w:after="0"/>
            </w:pPr>
            <w:r/>
            <w:r>
              <w:rPr>
                <w:b w:val="0"/>
                <w:sz w:val="17"/>
              </w:rPr>
              <w:t>Select representative sampling points; avoid abnormal/non-representative spots; remove surface litter; collect soil from the required depth using appropriate sampling tool; place subsamples in a clean container; mix subsamples to form a composite sample; obtain a representative portion; label/store appropriately.</w:t>
            </w:r>
          </w:p>
        </w:tc>
        <w:tc>
          <w:tcPr>
            <w:tcW w:type="dxa" w:w="2592"/>
            <w:vAlign w:val="center"/>
          </w:tcPr>
          <w:p>
            <w:pPr>
              <w:spacing w:after="0"/>
            </w:pPr>
            <w:r/>
            <w:r>
              <w:rPr>
                <w:b w:val="0"/>
                <w:sz w:val="17"/>
              </w:rPr>
              <w:t>C×4</w:t>
            </w:r>
          </w:p>
        </w:tc>
        <w:tc>
          <w:tcPr>
            <w:tcW w:type="dxa" w:w="2592"/>
            <w:vAlign w:val="center"/>
          </w:tcPr>
          <w:p>
            <w:pPr>
              <w:spacing w:after="0"/>
            </w:pPr>
            <w:r/>
            <w:r>
              <w:rPr>
                <w:b w:val="0"/>
                <w:sz w:val="17"/>
              </w:rPr>
              <w:t>1 mark each for any four valid field activities.</w:t>
            </w:r>
          </w:p>
        </w:tc>
      </w:tr>
      <w:tr>
        <w:tc>
          <w:tcPr>
            <w:tcW w:type="dxa" w:w="2592"/>
            <w:vAlign w:val="center"/>
          </w:tcPr>
          <w:p>
            <w:pPr>
              <w:spacing w:after="0"/>
            </w:pPr>
            <w:r/>
            <w:r>
              <w:rPr>
                <w:b w:val="0"/>
                <w:sz w:val="17"/>
              </w:rPr>
              <w:t>19(iii)</w:t>
            </w:r>
          </w:p>
        </w:tc>
        <w:tc>
          <w:tcPr>
            <w:tcW w:type="dxa" w:w="2592"/>
            <w:vAlign w:val="center"/>
          </w:tcPr>
          <w:p>
            <w:pPr>
              <w:spacing w:after="0"/>
            </w:pPr>
            <w:r/>
            <w:r>
              <w:rPr>
                <w:b w:val="0"/>
                <w:sz w:val="17"/>
              </w:rPr>
              <w:t>Sample identification such as farmer/name or farm identifier; field/location; crop/field history or intended crop; date of sampling; sample depth; any other laboratory-identification details required.</w:t>
            </w:r>
          </w:p>
        </w:tc>
        <w:tc>
          <w:tcPr>
            <w:tcW w:type="dxa" w:w="2592"/>
            <w:vAlign w:val="center"/>
          </w:tcPr>
          <w:p>
            <w:pPr>
              <w:spacing w:after="0"/>
            </w:pPr>
            <w:r/>
            <w:r>
              <w:rPr>
                <w:b w:val="0"/>
                <w:sz w:val="17"/>
              </w:rPr>
              <w:t>C×2</w:t>
            </w:r>
          </w:p>
        </w:tc>
        <w:tc>
          <w:tcPr>
            <w:tcW w:type="dxa" w:w="2592"/>
            <w:vAlign w:val="center"/>
          </w:tcPr>
          <w:p>
            <w:pPr>
              <w:spacing w:after="0"/>
            </w:pPr>
            <w:r/>
            <w:r>
              <w:rPr>
                <w:b w:val="0"/>
                <w:sz w:val="17"/>
              </w:rPr>
              <w:t>1 mark each for two valid pieces of identifying information.</w:t>
            </w:r>
          </w:p>
        </w:tc>
      </w:tr>
      <w:tr>
        <w:tc>
          <w:tcPr>
            <w:tcW w:type="dxa" w:w="2592"/>
            <w:vAlign w:val="center"/>
          </w:tcPr>
          <w:p>
            <w:pPr>
              <w:spacing w:after="0"/>
            </w:pPr>
            <w:r/>
            <w:r>
              <w:rPr>
                <w:b w:val="0"/>
                <w:sz w:val="17"/>
              </w:rPr>
              <w:t>20(a)</w:t>
            </w:r>
          </w:p>
        </w:tc>
        <w:tc>
          <w:tcPr>
            <w:tcW w:type="dxa" w:w="2592"/>
            <w:vAlign w:val="center"/>
          </w:tcPr>
          <w:p>
            <w:pPr>
              <w:spacing w:after="0"/>
            </w:pPr>
            <w:r/>
            <w:r>
              <w:rPr>
                <w:b w:val="0"/>
                <w:sz w:val="17"/>
              </w:rPr>
              <w:t>Cutworm.</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w:t>
            </w:r>
          </w:p>
        </w:tc>
      </w:tr>
      <w:tr>
        <w:tc>
          <w:tcPr>
            <w:tcW w:type="dxa" w:w="2592"/>
            <w:vAlign w:val="center"/>
          </w:tcPr>
          <w:p>
            <w:pPr>
              <w:spacing w:after="0"/>
            </w:pPr>
            <w:r/>
            <w:r>
              <w:rPr>
                <w:b w:val="0"/>
                <w:sz w:val="17"/>
              </w:rPr>
              <w:t>20(b)</w:t>
            </w:r>
          </w:p>
        </w:tc>
        <w:tc>
          <w:tcPr>
            <w:tcW w:type="dxa" w:w="2592"/>
            <w:vAlign w:val="center"/>
          </w:tcPr>
          <w:p>
            <w:pPr>
              <w:spacing w:after="0"/>
            </w:pPr>
            <w:r/>
            <w:r>
              <w:rPr>
                <w:b w:val="0"/>
                <w:sz w:val="17"/>
              </w:rPr>
              <w:t>Field sanitation/removal of weeds and crop residues; hand-picking where practical; appropriate insecticide treatment; use of barriers/physical control around seedlings; proper cultivation where recommended.</w:t>
            </w:r>
          </w:p>
        </w:tc>
        <w:tc>
          <w:tcPr>
            <w:tcW w:type="dxa" w:w="2592"/>
            <w:vAlign w:val="center"/>
          </w:tcPr>
          <w:p>
            <w:pPr>
              <w:spacing w:after="0"/>
            </w:pPr>
            <w:r/>
            <w:r>
              <w:rPr>
                <w:b w:val="0"/>
                <w:sz w:val="17"/>
              </w:rPr>
              <w:t>C</w:t>
            </w:r>
          </w:p>
        </w:tc>
        <w:tc>
          <w:tcPr>
            <w:tcW w:type="dxa" w:w="2592"/>
            <w:vAlign w:val="center"/>
          </w:tcPr>
          <w:p>
            <w:pPr>
              <w:spacing w:after="0"/>
            </w:pPr>
            <w:r/>
            <w:r>
              <w:rPr>
                <w:b w:val="0"/>
                <w:sz w:val="17"/>
              </w:rPr>
              <w:t>1 mark for one valid control method.</w:t>
            </w:r>
          </w:p>
        </w:tc>
      </w:tr>
      <w:tr>
        <w:tc>
          <w:tcPr>
            <w:tcW w:type="dxa" w:w="2592"/>
            <w:vAlign w:val="center"/>
          </w:tcPr>
          <w:p>
            <w:pPr>
              <w:spacing w:after="0"/>
            </w:pPr>
            <w:r/>
            <w:r>
              <w:rPr>
                <w:b w:val="0"/>
                <w:sz w:val="17"/>
              </w:rPr>
              <w:t>21(a)</w:t>
            </w:r>
          </w:p>
        </w:tc>
        <w:tc>
          <w:tcPr>
            <w:tcW w:type="dxa" w:w="2592"/>
            <w:vAlign w:val="center"/>
          </w:tcPr>
          <w:p>
            <w:pPr>
              <w:spacing w:after="0"/>
            </w:pPr>
            <w:r/>
            <w:r>
              <w:rPr>
                <w:b w:val="0"/>
                <w:sz w:val="17"/>
              </w:rPr>
              <w:t>Splash erosion.</w:t>
            </w:r>
          </w:p>
        </w:tc>
        <w:tc>
          <w:tcPr>
            <w:tcW w:type="dxa" w:w="2592"/>
            <w:vAlign w:val="center"/>
          </w:tcPr>
          <w:p>
            <w:pPr>
              <w:spacing w:after="0"/>
            </w:pPr>
            <w:r/>
            <w:r>
              <w:rPr>
                <w:b w:val="0"/>
                <w:sz w:val="17"/>
              </w:rPr>
              <w:t>C</w:t>
            </w:r>
          </w:p>
        </w:tc>
        <w:tc>
          <w:tcPr>
            <w:tcW w:type="dxa" w:w="2592"/>
            <w:vAlign w:val="center"/>
          </w:tcPr>
          <w:p>
            <w:pPr>
              <w:spacing w:after="0"/>
            </w:pPr>
            <w:r/>
            <w:r>
              <w:rPr>
                <w:b w:val="0"/>
                <w:sz w:val="17"/>
              </w:rPr>
              <w:t>2 marks for correct identification.</w:t>
            </w:r>
          </w:p>
        </w:tc>
      </w:tr>
      <w:tr>
        <w:tc>
          <w:tcPr>
            <w:tcW w:type="dxa" w:w="2592"/>
            <w:vAlign w:val="center"/>
          </w:tcPr>
          <w:p>
            <w:pPr>
              <w:spacing w:after="0"/>
            </w:pPr>
            <w:r/>
            <w:r>
              <w:rPr>
                <w:b w:val="0"/>
                <w:sz w:val="17"/>
              </w:rPr>
              <w:t>21(b)</w:t>
            </w:r>
          </w:p>
        </w:tc>
        <w:tc>
          <w:tcPr>
            <w:tcW w:type="dxa" w:w="2592"/>
            <w:vAlign w:val="center"/>
          </w:tcPr>
          <w:p>
            <w:pPr>
              <w:spacing w:after="0"/>
            </w:pPr>
            <w:r/>
            <w:r>
              <w:rPr>
                <w:b w:val="0"/>
                <w:sz w:val="17"/>
              </w:rPr>
              <w:t>Raindrops strike exposed/bare soil with force, breaking soil aggregates and detaching particles; the particles are splashed upward and sideways and may later be transported by runoff/water.</w:t>
            </w:r>
          </w:p>
        </w:tc>
        <w:tc>
          <w:tcPr>
            <w:tcW w:type="dxa" w:w="2592"/>
            <w:vAlign w:val="center"/>
          </w:tcPr>
          <w:p>
            <w:pPr>
              <w:spacing w:after="0"/>
            </w:pPr>
            <w:r/>
            <w:r>
              <w:rPr>
                <w:b w:val="0"/>
                <w:sz w:val="17"/>
              </w:rPr>
              <w:t>C×2</w:t>
            </w:r>
          </w:p>
        </w:tc>
        <w:tc>
          <w:tcPr>
            <w:tcW w:type="dxa" w:w="2592"/>
            <w:vAlign w:val="center"/>
          </w:tcPr>
          <w:p>
            <w:pPr>
              <w:spacing w:after="0"/>
            </w:pPr>
            <w:r/>
            <w:r>
              <w:rPr>
                <w:b w:val="0"/>
                <w:sz w:val="17"/>
              </w:rPr>
              <w:t>1 mark for raindrop impact/detachment; 1 mark for splashing/displacement.</w:t>
            </w:r>
          </w:p>
        </w:tc>
      </w:tr>
    </w:tbl>
    <w:p>
      <w:pPr>
        <w:spacing w:after="20"/>
      </w:pPr>
    </w:p>
    <w:p>
      <w:pPr>
        <w:spacing w:after="120"/>
        <w:jc w:val="center"/>
      </w:pPr>
      <w:r>
        <w:rPr>
          <w:rFonts w:ascii="Arial" w:hAnsi="Arial"/>
          <w:b/>
          <w:sz w:val="24"/>
        </w:rPr>
        <w:t>SECTION C</w:t>
      </w:r>
    </w:p>
    <w:p>
      <w:pPr>
        <w:spacing w:before="40" w:after="60"/>
      </w:pPr>
      <w:r>
        <w:rPr>
          <w:b/>
          <w:sz w:val="21"/>
        </w:rPr>
        <w:t xml:space="preserve">22(a). </w:t>
      </w:r>
      <w:r>
        <w:rPr>
          <w:sz w:val="21"/>
        </w:rPr>
        <w:t>Explain eight cultural methods of soil and water conservation.</w:t>
      </w:r>
    </w:p>
    <w:p>
      <w:pPr>
        <w:spacing w:after="30"/>
        <w:ind w:left="288"/>
      </w:pPr>
      <w:r>
        <w:t>• Contour farming/ploughing — operations follow contours to reduce runoff velocity.</w:t>
      </w:r>
    </w:p>
    <w:p>
      <w:pPr>
        <w:spacing w:after="30"/>
        <w:ind w:left="288"/>
      </w:pPr>
      <w:r>
        <w:t>• Terracing — creates level/graded steps that reduce slope length and runoff.</w:t>
      </w:r>
    </w:p>
    <w:p>
      <w:pPr>
        <w:spacing w:after="30"/>
        <w:ind w:left="288"/>
      </w:pPr>
      <w:r>
        <w:t>• Strip cropping — alternates crops/cover strips to slow runoff and trap soil.</w:t>
      </w:r>
    </w:p>
    <w:p>
      <w:pPr>
        <w:spacing w:after="30"/>
        <w:ind w:left="288"/>
      </w:pPr>
      <w:r>
        <w:t>• Mulching — covers soil, reduces raindrop impact, evaporation and runoff.</w:t>
      </w:r>
    </w:p>
    <w:p>
      <w:pPr>
        <w:spacing w:after="30"/>
        <w:ind w:left="288"/>
      </w:pPr>
      <w:r>
        <w:t>• Cover cropping — maintains protective vegetation over soil.</w:t>
      </w:r>
    </w:p>
    <w:p>
      <w:pPr>
        <w:spacing w:after="30"/>
        <w:ind w:left="288"/>
      </w:pPr>
      <w:r>
        <w:t>• Grass strips/grass bands — trap sediment and slow surface flow.</w:t>
      </w:r>
    </w:p>
    <w:p>
      <w:pPr>
        <w:spacing w:after="30"/>
        <w:ind w:left="288"/>
      </w:pPr>
      <w:r>
        <w:t>• Minimum/conservation tillage — reduces soil disturbance and preserves residues.</w:t>
      </w:r>
    </w:p>
    <w:p>
      <w:pPr>
        <w:spacing w:after="30"/>
        <w:ind w:left="288"/>
      </w:pPr>
      <w:r>
        <w:t>• Crop rotation — maintains soil cover/fertility and reduces degradation.</w:t>
      </w:r>
    </w:p>
    <w:p>
      <w:pPr>
        <w:spacing w:after="30"/>
        <w:ind w:left="288"/>
      </w:pPr>
      <w:r>
        <w:t>• Intercropping/agroforestry may also be credited where correctly explained.</w:t>
      </w:r>
    </w:p>
    <w:p>
      <w:r>
        <w:rPr>
          <w:b/>
          <w:sz w:val="19"/>
        </w:rPr>
        <w:t>Scoring: Award 1 C mark for each correct method with a relevant explanation; maximum 8.</w:t>
      </w:r>
    </w:p>
    <w:p>
      <w:pPr>
        <w:spacing w:before="40" w:after="60"/>
      </w:pPr>
      <w:r>
        <w:rPr>
          <w:b/>
          <w:sz w:val="21"/>
        </w:rPr>
        <w:t xml:space="preserve">22(b). </w:t>
      </w:r>
      <w:r>
        <w:rPr>
          <w:sz w:val="21"/>
        </w:rPr>
        <w:t>Describe eight methods used in water harvesting.</w:t>
      </w:r>
    </w:p>
    <w:p>
      <w:pPr>
        <w:spacing w:after="30"/>
        <w:ind w:left="288"/>
      </w:pPr>
      <w:r>
        <w:t>• Roof catchment — collects rainwater from roofs into storage tanks.</w:t>
      </w:r>
    </w:p>
    <w:p>
      <w:pPr>
        <w:spacing w:after="30"/>
        <w:ind w:left="288"/>
      </w:pPr>
      <w:r>
        <w:t>• Rock catchment — directs runoff from suitable rock surfaces into storage.</w:t>
      </w:r>
    </w:p>
    <w:p>
      <w:pPr>
        <w:spacing w:after="30"/>
        <w:ind w:left="288"/>
      </w:pPr>
      <w:r>
        <w:t>• Water pans — excavated depressions store runoff for later use.</w:t>
      </w:r>
    </w:p>
    <w:p>
      <w:pPr>
        <w:spacing w:after="30"/>
        <w:ind w:left="288"/>
      </w:pPr>
      <w:r>
        <w:t>• Earth dams — embankments impound surface runoff.</w:t>
      </w:r>
    </w:p>
    <w:p>
      <w:pPr>
        <w:spacing w:after="30"/>
        <w:ind w:left="288"/>
      </w:pPr>
      <w:r>
        <w:t>• Rock dams/check dams — slow and retain runoff in drainage channels.</w:t>
      </w:r>
    </w:p>
    <w:p>
      <w:pPr>
        <w:spacing w:after="30"/>
        <w:ind w:left="288"/>
      </w:pPr>
      <w:r>
        <w:t>• Contour bunds — earth embankments intercept and retain runoff.</w:t>
      </w:r>
    </w:p>
    <w:p>
      <w:pPr>
        <w:spacing w:after="30"/>
        <w:ind w:left="288"/>
      </w:pPr>
      <w:r>
        <w:t>• Fanya juu — soil is thrown uphill to form a bund/trench system that retains water.</w:t>
      </w:r>
    </w:p>
    <w:p>
      <w:pPr>
        <w:spacing w:after="30"/>
        <w:ind w:left="288"/>
      </w:pPr>
      <w:r>
        <w:t>• Fanya chini — soil is thrown downhill to form a water-retaining structure.</w:t>
      </w:r>
    </w:p>
    <w:p>
      <w:pPr>
        <w:spacing w:after="30"/>
        <w:ind w:left="288"/>
      </w:pPr>
      <w:r>
        <w:t>• Sand dams may also be credited where correctly described.</w:t>
      </w:r>
    </w:p>
    <w:p>
      <w:r>
        <w:rPr>
          <w:b/>
          <w:sz w:val="19"/>
        </w:rPr>
        <w:t>Scoring: Award 1 C mark for each correctly described method; maximum 8.</w:t>
      </w:r>
    </w:p>
    <w:p>
      <w:pPr>
        <w:spacing w:before="40" w:after="60"/>
      </w:pPr>
      <w:r>
        <w:rPr>
          <w:b/>
          <w:sz w:val="21"/>
        </w:rPr>
        <w:t xml:space="preserve">22(c). </w:t>
      </w:r>
      <w:r>
        <w:rPr>
          <w:sz w:val="21"/>
        </w:rPr>
        <w:t>State four agents of soil erosion.</w:t>
      </w:r>
    </w:p>
    <w:p>
      <w:pPr>
        <w:spacing w:after="30"/>
        <w:ind w:left="288"/>
      </w:pPr>
      <w:r>
        <w:t>• Running water.</w:t>
      </w:r>
    </w:p>
    <w:p>
      <w:pPr>
        <w:spacing w:after="30"/>
        <w:ind w:left="288"/>
      </w:pPr>
      <w:r>
        <w:t>• Wind.</w:t>
      </w:r>
    </w:p>
    <w:p>
      <w:pPr>
        <w:spacing w:after="30"/>
        <w:ind w:left="288"/>
      </w:pPr>
      <w:r>
        <w:t>• Moving ice/glaciers.</w:t>
      </w:r>
    </w:p>
    <w:p>
      <w:pPr>
        <w:spacing w:after="30"/>
        <w:ind w:left="288"/>
      </w:pPr>
      <w:r>
        <w:t>• Sea/wave action.</w:t>
      </w:r>
    </w:p>
    <w:p>
      <w:pPr>
        <w:spacing w:after="30"/>
        <w:ind w:left="288"/>
      </w:pPr>
      <w:r>
        <w:t>• Human activity may be credited where treated as a contributing agent in the learner's syllabus.</w:t>
      </w:r>
    </w:p>
    <w:p>
      <w:r>
        <w:rPr>
          <w:b/>
          <w:sz w:val="19"/>
        </w:rPr>
        <w:t>Scoring: Award 1 C mark each; maximum 4.</w:t>
      </w:r>
    </w:p>
    <w:p>
      <w:pPr>
        <w:spacing w:before="40" w:after="60"/>
      </w:pPr>
      <w:r>
        <w:rPr>
          <w:b/>
          <w:sz w:val="21"/>
        </w:rPr>
        <w:t xml:space="preserve">23(a)(i). </w:t>
      </w:r>
      <w:r>
        <w:rPr>
          <w:sz w:val="21"/>
        </w:rPr>
        <w:t>Onion seedbed preparation.</w:t>
      </w:r>
    </w:p>
    <w:p>
      <w:pPr>
        <w:spacing w:after="30"/>
        <w:ind w:left="288"/>
      </w:pPr>
      <w:r>
        <w:t>• Select a suitable well-drained site.</w:t>
      </w:r>
    </w:p>
    <w:p>
      <w:pPr>
        <w:spacing w:after="30"/>
        <w:ind w:left="288"/>
      </w:pPr>
      <w:r>
        <w:t>• Clear vegetation, dig/fine-tilth the soil and incorporate suitable organic manure.</w:t>
      </w:r>
    </w:p>
    <w:p>
      <w:pPr>
        <w:spacing w:after="30"/>
        <w:ind w:left="288"/>
      </w:pPr>
      <w:r>
        <w:t>• Make a fine, level seedbed and sow seed in shallow drills at appropriate spacing; cover lightly and water.</w:t>
      </w:r>
    </w:p>
    <w:p>
      <w:r>
        <w:rPr>
          <w:b/>
          <w:sz w:val="19"/>
        </w:rPr>
        <w:t>Scoring: Award 1 C mark for each of three valid, clearly described preparation practices.</w:t>
      </w:r>
    </w:p>
    <w:p>
      <w:pPr>
        <w:spacing w:before="40" w:after="60"/>
      </w:pPr>
      <w:r>
        <w:rPr>
          <w:b/>
          <w:sz w:val="21"/>
        </w:rPr>
        <w:t xml:space="preserve">23(a)(ii). </w:t>
      </w:r>
      <w:r>
        <w:rPr>
          <w:sz w:val="21"/>
        </w:rPr>
        <w:t>Onion field management.</w:t>
      </w:r>
    </w:p>
    <w:p>
      <w:pPr>
        <w:spacing w:after="30"/>
        <w:ind w:left="288"/>
      </w:pPr>
      <w:r>
        <w:t>• Irrigation/watering according to moisture needs.</w:t>
      </w:r>
    </w:p>
    <w:p>
      <w:pPr>
        <w:spacing w:after="30"/>
        <w:ind w:left="288"/>
      </w:pPr>
      <w:r>
        <w:t>• Weeding to reduce competition.</w:t>
      </w:r>
    </w:p>
    <w:p>
      <w:pPr>
        <w:spacing w:after="30"/>
        <w:ind w:left="288"/>
      </w:pPr>
      <w:r>
        <w:t>• Thinning/gapping where necessary to maintain spacing.</w:t>
      </w:r>
    </w:p>
    <w:p>
      <w:pPr>
        <w:spacing w:after="30"/>
        <w:ind w:left="288"/>
      </w:pPr>
      <w:r>
        <w:t>• Top-dressing/fertilizer application according to crop requirement.</w:t>
      </w:r>
    </w:p>
    <w:p>
      <w:pPr>
        <w:spacing w:after="30"/>
        <w:ind w:left="288"/>
      </w:pPr>
      <w:r>
        <w:t>• Pest and disease control.</w:t>
      </w:r>
    </w:p>
    <w:p>
      <w:pPr>
        <w:spacing w:after="30"/>
        <w:ind w:left="288"/>
      </w:pPr>
      <w:r>
        <w:t>• Mulching where appropriate.</w:t>
      </w:r>
    </w:p>
    <w:p>
      <w:pPr>
        <w:spacing w:after="30"/>
        <w:ind w:left="288"/>
      </w:pPr>
      <w:r>
        <w:t>• Earthing/soil management where appropriate.</w:t>
      </w:r>
    </w:p>
    <w:p>
      <w:r>
        <w:rPr>
          <w:b/>
          <w:sz w:val="19"/>
        </w:rPr>
        <w:t>Scoring: Award 1 C mark each for any four valid practices.</w:t>
      </w:r>
    </w:p>
    <w:p>
      <w:pPr>
        <w:spacing w:before="40" w:after="60"/>
      </w:pPr>
      <w:r>
        <w:rPr>
          <w:b/>
          <w:sz w:val="21"/>
        </w:rPr>
        <w:t xml:space="preserve">23(a)(iii). </w:t>
      </w:r>
      <w:r>
        <w:rPr>
          <w:sz w:val="21"/>
        </w:rPr>
        <w:t>Onion harvesting.</w:t>
      </w:r>
    </w:p>
    <w:p>
      <w:pPr>
        <w:spacing w:after="30"/>
        <w:ind w:left="288"/>
      </w:pPr>
      <w:r>
        <w:t>• Harvest when bulbs are mature and tops begin to yellow/lodge.</w:t>
      </w:r>
    </w:p>
    <w:p>
      <w:pPr>
        <w:spacing w:after="30"/>
        <w:ind w:left="288"/>
      </w:pPr>
      <w:r>
        <w:t>• Lift bulbs carefully to avoid bruising or cutting.</w:t>
      </w:r>
    </w:p>
    <w:p>
      <w:pPr>
        <w:spacing w:after="30"/>
        <w:ind w:left="288"/>
      </w:pPr>
      <w:r>
        <w:t>• Cure/dry bulbs under suitable conditions, trim tops and roots, then grade/store properly.</w:t>
      </w:r>
    </w:p>
    <w:p>
      <w:r>
        <w:rPr>
          <w:b/>
          <w:sz w:val="19"/>
        </w:rPr>
        <w:t>Scoring: Award 1 C mark each for three valid harvesting practices.</w:t>
      </w:r>
    </w:p>
    <w:p>
      <w:pPr>
        <w:spacing w:before="40" w:after="60"/>
      </w:pPr>
      <w:r>
        <w:rPr>
          <w:b/>
          <w:sz w:val="21"/>
        </w:rPr>
        <w:t xml:space="preserve">23(b). </w:t>
      </w:r>
      <w:r>
        <w:rPr>
          <w:sz w:val="21"/>
        </w:rPr>
        <w:t>Field management practices for tomatoes.</w:t>
      </w:r>
    </w:p>
    <w:p>
      <w:pPr>
        <w:spacing w:after="30"/>
        <w:ind w:left="288"/>
      </w:pPr>
      <w:r>
        <w:t>• Gap filling/thinning to maintain plant population.</w:t>
      </w:r>
    </w:p>
    <w:p>
      <w:pPr>
        <w:spacing w:after="30"/>
        <w:ind w:left="288"/>
      </w:pPr>
      <w:r>
        <w:t>• Weeding.</w:t>
      </w:r>
    </w:p>
    <w:p>
      <w:pPr>
        <w:spacing w:after="30"/>
        <w:ind w:left="288"/>
      </w:pPr>
      <w:r>
        <w:t>• Irrigation/watering.</w:t>
      </w:r>
    </w:p>
    <w:p>
      <w:pPr>
        <w:spacing w:after="30"/>
        <w:ind w:left="288"/>
      </w:pPr>
      <w:r>
        <w:t>• Top-dressing/fertilizer application.</w:t>
      </w:r>
    </w:p>
    <w:p>
      <w:pPr>
        <w:spacing w:after="30"/>
        <w:ind w:left="288"/>
      </w:pPr>
      <w:r>
        <w:t>• Staking/supporting plants.</w:t>
      </w:r>
    </w:p>
    <w:p>
      <w:pPr>
        <w:spacing w:after="30"/>
        <w:ind w:left="288"/>
      </w:pPr>
      <w:r>
        <w:t>• Pruning/suckering where required.</w:t>
      </w:r>
    </w:p>
    <w:p>
      <w:pPr>
        <w:spacing w:after="30"/>
        <w:ind w:left="288"/>
      </w:pPr>
      <w:r>
        <w:t>• Mulching.</w:t>
      </w:r>
    </w:p>
    <w:p>
      <w:pPr>
        <w:spacing w:after="30"/>
        <w:ind w:left="288"/>
      </w:pPr>
      <w:r>
        <w:t>• Pest control.</w:t>
      </w:r>
    </w:p>
    <w:p>
      <w:pPr>
        <w:spacing w:after="30"/>
        <w:ind w:left="288"/>
      </w:pPr>
      <w:r>
        <w:t>• Disease control.</w:t>
      </w:r>
    </w:p>
    <w:p>
      <w:pPr>
        <w:spacing w:after="30"/>
        <w:ind w:left="288"/>
      </w:pPr>
      <w:r>
        <w:t>• Field sanitation/removal of diseased material.</w:t>
      </w:r>
    </w:p>
    <w:p>
      <w:pPr>
        <w:spacing w:after="30"/>
        <w:ind w:left="288"/>
      </w:pPr>
      <w:r>
        <w:t>• Earthing up where appropriate.</w:t>
      </w:r>
    </w:p>
    <w:p>
      <w:pPr>
        <w:spacing w:after="30"/>
        <w:ind w:left="288"/>
      </w:pPr>
      <w:r>
        <w:t>• Rogueing/selection of unhealthy plants.</w:t>
      </w:r>
    </w:p>
    <w:p>
      <w:r>
        <w:rPr>
          <w:b/>
          <w:sz w:val="19"/>
        </w:rPr>
        <w:t>Scoring: Award 1 C mark each for any ten valid practices. A practice should be accompanied by enough description to show correct application where necessary.</w:t>
      </w:r>
    </w:p>
    <w:p>
      <w:pPr>
        <w:spacing w:before="40" w:after="60"/>
      </w:pPr>
      <w:r>
        <w:rPr>
          <w:b/>
          <w:sz w:val="21"/>
        </w:rPr>
        <w:t xml:space="preserve">24(a). </w:t>
      </w:r>
      <w:r>
        <w:rPr>
          <w:sz w:val="21"/>
        </w:rPr>
        <w:t>Five roles of agriculture in economic development of Kenya.</w:t>
      </w:r>
    </w:p>
    <w:p>
      <w:pPr>
        <w:spacing w:after="30"/>
        <w:ind w:left="288"/>
      </w:pPr>
      <w:r>
        <w:t>• Provides employment.</w:t>
      </w:r>
    </w:p>
    <w:p>
      <w:pPr>
        <w:spacing w:after="30"/>
        <w:ind w:left="288"/>
      </w:pPr>
      <w:r>
        <w:t>• Provides food and food security.</w:t>
      </w:r>
    </w:p>
    <w:p>
      <w:pPr>
        <w:spacing w:after="30"/>
        <w:ind w:left="288"/>
      </w:pPr>
      <w:r>
        <w:t>• Provides raw materials for agro-based industries.</w:t>
      </w:r>
    </w:p>
    <w:p>
      <w:pPr>
        <w:spacing w:after="30"/>
        <w:ind w:left="288"/>
      </w:pPr>
      <w:r>
        <w:t>• Earns foreign exchange through agricultural exports.</w:t>
      </w:r>
    </w:p>
    <w:p>
      <w:pPr>
        <w:spacing w:after="30"/>
        <w:ind w:left="288"/>
      </w:pPr>
      <w:r>
        <w:t>• Provides a market for industrial goods and services.</w:t>
      </w:r>
    </w:p>
    <w:p>
      <w:pPr>
        <w:spacing w:after="30"/>
        <w:ind w:left="288"/>
      </w:pPr>
      <w:r>
        <w:t>• Generates government revenue.</w:t>
      </w:r>
    </w:p>
    <w:p>
      <w:pPr>
        <w:spacing w:after="30"/>
        <w:ind w:left="288"/>
      </w:pPr>
      <w:r>
        <w:t>• Contributes to national income/GDP.</w:t>
      </w:r>
    </w:p>
    <w:p>
      <w:pPr>
        <w:spacing w:after="30"/>
        <w:ind w:left="288"/>
      </w:pPr>
      <w:r>
        <w:t>• Provides investment opportunities and supports rural development.</w:t>
      </w:r>
    </w:p>
    <w:p>
      <w:pPr>
        <w:spacing w:after="30"/>
        <w:ind w:left="288"/>
      </w:pPr>
      <w:r>
        <w:t>• Provides inputs for other sectors, including livestock and manufacturing.</w:t>
      </w:r>
    </w:p>
    <w:p>
      <w:r>
        <w:rPr>
          <w:b/>
          <w:sz w:val="19"/>
        </w:rPr>
        <w:t>Scoring: Award 2 marks per role: 1 C mark for correctly stating the role and 1 C mark for a relevant explanation. Maximum 10.</w:t>
      </w:r>
    </w:p>
    <w:p>
      <w:pPr>
        <w:spacing w:before="40" w:after="60"/>
      </w:pPr>
      <w:r>
        <w:rPr>
          <w:b/>
          <w:sz w:val="21"/>
        </w:rPr>
        <w:t xml:space="preserve">24(b). </w:t>
      </w:r>
      <w:r>
        <w:rPr>
          <w:sz w:val="21"/>
        </w:rPr>
        <w:t>Two effects of low temperatures on crop growth.</w:t>
      </w:r>
    </w:p>
    <w:p>
      <w:pPr>
        <w:spacing w:after="30"/>
        <w:ind w:left="288"/>
      </w:pPr>
      <w:r>
        <w:t>• Slow germination.</w:t>
      </w:r>
    </w:p>
    <w:p>
      <w:pPr>
        <w:spacing w:after="30"/>
        <w:ind w:left="288"/>
      </w:pPr>
      <w:r>
        <w:t>• Slow metabolic/enzymatic activity and growth.</w:t>
      </w:r>
    </w:p>
    <w:p>
      <w:pPr>
        <w:spacing w:after="30"/>
        <w:ind w:left="288"/>
      </w:pPr>
      <w:r>
        <w:t>• Reduced nutrient uptake.</w:t>
      </w:r>
    </w:p>
    <w:p>
      <w:pPr>
        <w:spacing w:after="30"/>
        <w:ind w:left="288"/>
      </w:pPr>
      <w:r>
        <w:t>• Poor flowering/fruit development.</w:t>
      </w:r>
    </w:p>
    <w:p>
      <w:pPr>
        <w:spacing w:after="30"/>
        <w:ind w:left="288"/>
      </w:pPr>
      <w:r>
        <w:t>• Chilling injury/frost injury in susceptible crops.</w:t>
      </w:r>
    </w:p>
    <w:p>
      <w:pPr>
        <w:spacing w:after="30"/>
        <w:ind w:left="288"/>
      </w:pPr>
      <w:r>
        <w:t>• Delayed maturity.</w:t>
      </w:r>
    </w:p>
    <w:p>
      <w:r>
        <w:rPr>
          <w:b/>
          <w:sz w:val="19"/>
        </w:rPr>
        <w:t>Scoring: Award 1 C mark each for two valid effects.</w:t>
      </w:r>
    </w:p>
    <w:p>
      <w:pPr>
        <w:spacing w:before="40" w:after="60"/>
      </w:pPr>
      <w:r>
        <w:rPr>
          <w:b/>
          <w:sz w:val="21"/>
        </w:rPr>
        <w:t xml:space="preserve">24(c). </w:t>
      </w:r>
      <w:r>
        <w:rPr>
          <w:sz w:val="21"/>
        </w:rPr>
        <w:t>Four aspects of rainfall to consider when choosing a crop.</w:t>
      </w:r>
    </w:p>
    <w:p>
      <w:pPr>
        <w:spacing w:after="30"/>
        <w:ind w:left="288"/>
      </w:pPr>
      <w:r>
        <w:t>• Amount — total rainfall should meet the crop's water requirements.</w:t>
      </w:r>
    </w:p>
    <w:p>
      <w:pPr>
        <w:spacing w:after="30"/>
        <w:ind w:left="288"/>
      </w:pPr>
      <w:r>
        <w:t>• Distribution — rainfall should occur at suitable growth stages.</w:t>
      </w:r>
    </w:p>
    <w:p>
      <w:pPr>
        <w:spacing w:after="30"/>
        <w:ind w:left="288"/>
      </w:pPr>
      <w:r>
        <w:t>• Reliability/variability — dependable rainfall reduces production risk.</w:t>
      </w:r>
    </w:p>
    <w:p>
      <w:pPr>
        <w:spacing w:after="30"/>
        <w:ind w:left="288"/>
      </w:pPr>
      <w:r>
        <w:t>• Intensity — very heavy rainfall can cause runoff, erosion, waterlogging and crop damage.</w:t>
      </w:r>
    </w:p>
    <w:p>
      <w:pPr>
        <w:spacing w:after="30"/>
        <w:ind w:left="288"/>
      </w:pPr>
      <w:r>
        <w:t>• Duration/length of rainy season — crop maturity period should fit available moisture.</w:t>
      </w:r>
    </w:p>
    <w:p>
      <w:pPr>
        <w:spacing w:after="30"/>
        <w:ind w:left="288"/>
      </w:pPr>
      <w:r>
        <w:t>• Onset/cessation — timing of rains should match planting and maturity requirements.</w:t>
      </w:r>
    </w:p>
    <w:p>
      <w:r>
        <w:rPr>
          <w:b/>
          <w:sz w:val="19"/>
        </w:rPr>
        <w:t>Scoring: Award 2 marks per aspect: 1 mark for identifying the aspect and 1 mark for a correct explanation. Maximum 8.</w:t>
      </w:r>
    </w:p>
    <w:p>
      <w:pPr>
        <w:spacing w:before="160"/>
      </w:pPr>
      <w:r>
        <w:rPr>
          <w:b/>
        </w:rPr>
        <w:t xml:space="preserve">Examiner note on source totals: </w:t>
      </w:r>
      <w:r>
        <w:t>The supplied source states Section A = 30 marks, Section B = 20 marks and Section C = 40 marks, giving a printed total of 90 marks. However, the individual marks printed for Questions 1–17 sum to 31. The candidate paper therefore retains the source's printed architecture and explicitly flags the discrepancy rather than silently altering it.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