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A7450" w14:textId="77777777" w:rsidR="00E047BB" w:rsidRPr="00E047BB" w:rsidRDefault="00E047BB" w:rsidP="00E047BB">
      <w:pPr>
        <w:spacing w:line="360" w:lineRule="auto"/>
        <w:rPr>
          <w:b/>
          <w:u w:val="single"/>
        </w:rPr>
      </w:pPr>
      <w:r w:rsidRPr="00E047BB">
        <w:rPr>
          <w:b/>
          <w:u w:val="single"/>
        </w:rPr>
        <w:t xml:space="preserve">END TERM 2 2025 </w:t>
      </w:r>
    </w:p>
    <w:p w14:paraId="27576305" w14:textId="77777777" w:rsidR="00A43D8B" w:rsidRDefault="00A43D8B" w:rsidP="00A43D8B">
      <w:pPr>
        <w:spacing w:line="360" w:lineRule="auto"/>
        <w:rPr>
          <w:b/>
          <w:u w:val="single"/>
        </w:rPr>
      </w:pPr>
      <w:r w:rsidRPr="00A43D8B">
        <w:rPr>
          <w:b/>
          <w:u w:val="single"/>
        </w:rPr>
        <w:t>451/2 COMPUTER STUDIES</w:t>
      </w:r>
    </w:p>
    <w:p w14:paraId="5E7E817B" w14:textId="77777777" w:rsidR="001024D2" w:rsidRPr="001024D2" w:rsidRDefault="001024D2" w:rsidP="001024D2">
      <w:pPr>
        <w:rPr>
          <w:b/>
        </w:rPr>
      </w:pPr>
      <w:r w:rsidRPr="00F81739">
        <w:rPr>
          <w:b/>
        </w:rPr>
        <w:t>(</w:t>
      </w:r>
      <w:r>
        <w:rPr>
          <w:b/>
        </w:rPr>
        <w:t>PRACTICAL</w:t>
      </w:r>
      <w:r w:rsidRPr="00F81739">
        <w:rPr>
          <w:b/>
        </w:rPr>
        <w:t>)</w:t>
      </w:r>
    </w:p>
    <w:p w14:paraId="363A38E4" w14:textId="77777777" w:rsidR="00A43D8B" w:rsidRDefault="00C27BD5" w:rsidP="00A43D8B">
      <w:pPr>
        <w:spacing w:line="360" w:lineRule="auto"/>
        <w:rPr>
          <w:b/>
          <w:u w:val="single"/>
        </w:rPr>
      </w:pPr>
      <w:r>
        <w:rPr>
          <w:b/>
          <w:u w:val="single"/>
        </w:rPr>
        <w:t>MOCK</w:t>
      </w:r>
      <w:r w:rsidR="00A43D8B" w:rsidRPr="00A43D8B">
        <w:rPr>
          <w:b/>
          <w:u w:val="single"/>
        </w:rPr>
        <w:t xml:space="preserve"> PP2 MARKING SCHEME</w:t>
      </w:r>
    </w:p>
    <w:p w14:paraId="657E6EC3" w14:textId="77777777" w:rsidR="00A6655E" w:rsidRDefault="00A6655E" w:rsidP="00A6655E">
      <w:pPr>
        <w:spacing w:line="360" w:lineRule="auto"/>
        <w:jc w:val="center"/>
        <w:rPr>
          <w:b/>
        </w:rPr>
      </w:pPr>
      <w:r w:rsidRPr="00B90FE4">
        <w:rPr>
          <w:b/>
          <w:bCs/>
          <w:i/>
          <w:sz w:val="32"/>
          <w:szCs w:val="32"/>
        </w:rPr>
        <w:t>Kenya Certificate of Secondary Education (K.C.S.E)</w:t>
      </w:r>
    </w:p>
    <w:p w14:paraId="3E6C0BC0" w14:textId="77777777" w:rsidR="00A6655E" w:rsidRDefault="00A6655E" w:rsidP="00A43D8B">
      <w:pPr>
        <w:spacing w:line="360" w:lineRule="auto"/>
        <w:rPr>
          <w:b/>
        </w:rPr>
      </w:pPr>
    </w:p>
    <w:p w14:paraId="520BA794" w14:textId="77777777" w:rsidR="00A6655E" w:rsidRPr="00A6655E" w:rsidRDefault="00A43D8B" w:rsidP="00A6655E">
      <w:pPr>
        <w:spacing w:line="360" w:lineRule="auto"/>
        <w:rPr>
          <w:b/>
        </w:rPr>
      </w:pPr>
      <w:r>
        <w:rPr>
          <w:b/>
        </w:rPr>
        <w:t>QUESTION 1</w:t>
      </w:r>
    </w:p>
    <w:p w14:paraId="2428C903" w14:textId="77777777" w:rsidR="00A43D8B" w:rsidRDefault="00A43D8B" w:rsidP="00A43D8B">
      <w:pPr>
        <w:spacing w:line="360" w:lineRule="auto"/>
        <w:ind w:firstLine="720"/>
      </w:pPr>
      <w:r>
        <w:t>ACM1.</w:t>
      </w:r>
      <w:r>
        <w:tab/>
      </w:r>
      <w:r>
        <w:tab/>
      </w:r>
      <w:r>
        <w:tab/>
      </w:r>
      <w:r>
        <w:tab/>
      </w:r>
      <w:r>
        <w:tab/>
      </w:r>
      <w:r>
        <w:tab/>
      </w:r>
      <w:r>
        <w:tab/>
      </w:r>
      <w:r>
        <w:tab/>
      </w:r>
      <w:r>
        <w:tab/>
      </w:r>
      <w:r>
        <w:tab/>
      </w:r>
      <w:r w:rsidRPr="009460BF">
        <w:rPr>
          <w:b/>
        </w:rPr>
        <w:t>(20mks)</w:t>
      </w:r>
    </w:p>
    <w:p w14:paraId="4BB42F50" w14:textId="77777777" w:rsidR="00A43D8B" w:rsidRPr="003F27BD" w:rsidRDefault="00A43D8B" w:rsidP="00A43D8B">
      <w:pPr>
        <w:spacing w:line="360" w:lineRule="auto"/>
        <w:rPr>
          <w:b/>
        </w:rPr>
      </w:pPr>
      <w:r w:rsidRPr="003F27BD">
        <w:rPr>
          <w:b/>
        </w:rPr>
        <w:t>Congress Endorses Computer Science Education as Driver of Innovation, Economic</w:t>
      </w:r>
    </w:p>
    <w:p w14:paraId="5A87E4E1" w14:textId="77777777" w:rsidR="00A43D8B" w:rsidRPr="003F27BD" w:rsidRDefault="00A43D8B" w:rsidP="00A43D8B">
      <w:pPr>
        <w:spacing w:line="360" w:lineRule="auto"/>
        <w:rPr>
          <w:b/>
        </w:rPr>
      </w:pPr>
      <w:r w:rsidRPr="003F27BD">
        <w:rPr>
          <w:b/>
        </w:rPr>
        <w:t>Growth</w:t>
      </w:r>
    </w:p>
    <w:p w14:paraId="2A647D42" w14:textId="77777777" w:rsidR="00A43D8B" w:rsidRDefault="00A43D8B" w:rsidP="00A43D8B">
      <w:pPr>
        <w:spacing w:line="360" w:lineRule="auto"/>
      </w:pPr>
      <w:r>
        <w:t>AC (1 0/21/0 9,)</w:t>
      </w:r>
    </w:p>
    <w:p w14:paraId="6C260791" w14:textId="77777777" w:rsidR="00A43D8B" w:rsidRDefault="00A43D8B" w:rsidP="00A43D8B">
      <w:pPr>
        <w:spacing w:line="360" w:lineRule="auto"/>
      </w:pPr>
      <w:r>
        <w:t xml:space="preserve">ACM and several computing community partners commend the </w:t>
      </w:r>
      <w:smartTag w:uri="urn:schemas-microsoft-com:office:smarttags" w:element="country-region">
        <w:smartTag w:uri="urn:schemas-microsoft-com:office:smarttags" w:element="place">
          <w:r>
            <w:t>U.S.</w:t>
          </w:r>
        </w:smartTag>
      </w:smartTag>
      <w:r>
        <w:t xml:space="preserve"> I-louse of Representatives </w:t>
      </w:r>
    </w:p>
    <w:p w14:paraId="09FD4788" w14:textId="77777777" w:rsidR="00A43D8B" w:rsidRDefault="00A43D8B" w:rsidP="00A43D8B">
      <w:pPr>
        <w:spacing w:line="360" w:lineRule="auto"/>
      </w:pPr>
      <w:r>
        <w:t xml:space="preserve">passage of a resolution to improve the visibility of computer science as a transforming industry </w:t>
      </w:r>
    </w:p>
    <w:p w14:paraId="54ADD7A4" w14:textId="77777777" w:rsidR="00A43D8B" w:rsidRDefault="00A43D8B" w:rsidP="00A43D8B">
      <w:pPr>
        <w:spacing w:line="360" w:lineRule="auto"/>
      </w:pPr>
      <w:r>
        <w:t xml:space="preserve">that propels technology innovation and improves economic productivity. The House resolution </w:t>
      </w:r>
    </w:p>
    <w:p w14:paraId="2C368100" w14:textId="77777777" w:rsidR="00A43D8B" w:rsidRDefault="00A43D8B" w:rsidP="00A43D8B">
      <w:pPr>
        <w:spacing w:line="360" w:lineRule="auto"/>
      </w:pPr>
      <w:r>
        <w:t xml:space="preserve">designates the week of December 7 as ‘National Computer Science Education Week’ and calls </w:t>
      </w:r>
    </w:p>
    <w:p w14:paraId="41FFAF59" w14:textId="77777777" w:rsidR="00A43D8B" w:rsidRDefault="00A43D8B" w:rsidP="00A43D8B">
      <w:pPr>
        <w:spacing w:line="360" w:lineRule="auto"/>
      </w:pPr>
      <w:r>
        <w:t>on educators and policymakers to improve computer science learning at all education levels and to encourage increased participation in computer science.</w:t>
      </w:r>
    </w:p>
    <w:p w14:paraId="08F6B4B7" w14:textId="77777777" w:rsidR="00A43D8B" w:rsidRDefault="00A43D8B" w:rsidP="00A43D8B">
      <w:pPr>
        <w:spacing w:line="360" w:lineRule="auto"/>
      </w:pPr>
    </w:p>
    <w:p w14:paraId="7B7F799D" w14:textId="77777777" w:rsidR="00A43D8B" w:rsidRDefault="00A43D8B" w:rsidP="00A43D8B">
      <w:pPr>
        <w:spacing w:line="360" w:lineRule="auto"/>
      </w:pPr>
      <w:r>
        <w:t xml:space="preserve">ACM is working with Microsoft. Google, Intel. the Computer Science Teachers Association (CSTA), the </w:t>
      </w: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Women &amp; Information Technology (NC WIT), and the Computing Research Association to improve awareness that computer science education is a national priority. “National Computer Science Education Week will help us draw attention to the need for an educational system that values computer science as a discipline and provides students with critical thinking skills and career opportunities,” says ACM Education Policy Committee chair Bobby Schnabel, dean of the </w:t>
      </w:r>
      <w:smartTag w:uri="urn:schemas-microsoft-com:office:smarttags" w:element="PlaceType">
        <w:r>
          <w:t>School</w:t>
        </w:r>
      </w:smartTag>
      <w:r>
        <w:t xml:space="preserve"> of </w:t>
      </w:r>
      <w:smartTag w:uri="urn:schemas-microsoft-com:office:smarttags" w:element="PlaceName">
        <w:r>
          <w:t>Informatics</w:t>
        </w:r>
      </w:smartTag>
      <w:r>
        <w:t xml:space="preserve"> at </w:t>
      </w:r>
      <w:smartTag w:uri="urn:schemas-microsoft-com:office:smarttags" w:element="place">
        <w:smartTag w:uri="urn:schemas-microsoft-com:office:smarttags" w:element="PlaceName">
          <w:r>
            <w:t>Indiana</w:t>
          </w:r>
        </w:smartTag>
        <w:r>
          <w:t xml:space="preserve"> </w:t>
        </w:r>
        <w:smartTag w:uri="urn:schemas-microsoft-com:office:smarttags" w:element="PlaceType">
          <w:r>
            <w:t>University</w:t>
          </w:r>
        </w:smartTag>
      </w:smartTag>
      <w:r>
        <w:t>.</w:t>
      </w:r>
    </w:p>
    <w:p w14:paraId="64697185" w14:textId="77777777" w:rsidR="00A43D8B" w:rsidRDefault="00A43D8B" w:rsidP="00A43D8B">
      <w:pPr>
        <w:spacing w:line="360" w:lineRule="auto"/>
      </w:pPr>
    </w:p>
    <w:p w14:paraId="3C34F453" w14:textId="77777777" w:rsidR="00A43D8B" w:rsidRDefault="00A43D8B" w:rsidP="00A43D8B">
      <w:pPr>
        <w:spacing w:line="360" w:lineRule="auto"/>
      </w:pPr>
      <w:r>
        <w:t>CSTA executive director Chris Stephenson notes the vital role that computing plays in people’s daily lives, and stresses the urgency of building a strong computing workforce. “We need to expose K- 12 students to computer science concepts to help them gain critical 21st century skills and knowledge. and we’re grateful for Congress’ recognition of this need as a national priority,” Stephenson says. NCWI CEO and co-founder Lucy Sanders says the annual commemoration of National Computer Science Education Week can strengthen efforts to inform students, teachers, parents, and the public about how computer science enables innovation in all science, technology, engineering, and mathematics fields and creates economic opportunities.</w:t>
      </w:r>
    </w:p>
    <w:p w14:paraId="568DFB67" w14:textId="77777777" w:rsidR="00A43D8B" w:rsidRDefault="00A43D8B" w:rsidP="00A43D8B"/>
    <w:p w14:paraId="1FF283CC" w14:textId="77777777" w:rsidR="00A43D8B" w:rsidRDefault="00A43D8B" w:rsidP="00A43D8B"/>
    <w:p w14:paraId="35B6F9BC" w14:textId="77777777" w:rsidR="00A43D8B" w:rsidRPr="00491CF3" w:rsidRDefault="00A43D8B" w:rsidP="00A43D8B">
      <w:pPr>
        <w:rPr>
          <w:b/>
        </w:rPr>
      </w:pPr>
      <w:r w:rsidRPr="00491CF3">
        <w:rPr>
          <w:b/>
        </w:rPr>
        <w:lastRenderedPageBreak/>
        <w:t>ACM2</w:t>
      </w:r>
    </w:p>
    <w:p w14:paraId="479765DB" w14:textId="77777777" w:rsidR="00A43D8B" w:rsidRPr="00491CF3" w:rsidRDefault="00A43D8B" w:rsidP="00A43D8B">
      <w:pPr>
        <w:rPr>
          <w:b/>
        </w:rPr>
      </w:pPr>
      <w:r w:rsidRPr="00491CF3">
        <w:rPr>
          <w:b/>
        </w:rPr>
        <w:t>CONGRESS ENI)ORSES COMPUTER SCIENCE EDUCATION</w:t>
      </w:r>
    </w:p>
    <w:p w14:paraId="162B641E" w14:textId="77777777" w:rsidR="00A43D8B" w:rsidRPr="00491CF3" w:rsidRDefault="00A43D8B" w:rsidP="00A43D8B">
      <w:pPr>
        <w:rPr>
          <w:b/>
        </w:rPr>
      </w:pPr>
      <w:r w:rsidRPr="00491CF3">
        <w:rPr>
          <w:b/>
        </w:rPr>
        <w:t>AS DRIVER OF INNOVATION, ECONOMIC GROWTH</w:t>
      </w:r>
    </w:p>
    <w:p w14:paraId="19AC9969" w14:textId="77777777" w:rsidR="00A43D8B" w:rsidRDefault="00A43D8B" w:rsidP="00A43D8B">
      <w:pPr>
        <w:rPr>
          <w:b/>
          <w:i/>
        </w:rPr>
      </w:pPr>
      <w:r w:rsidRPr="00491CF3">
        <w:rPr>
          <w:b/>
          <w:i/>
        </w:rPr>
        <w:t>ACM (10/21/09)</w:t>
      </w:r>
    </w:p>
    <w:p w14:paraId="0D8601B4" w14:textId="77777777" w:rsidR="00A43D8B" w:rsidRPr="00491CF3" w:rsidRDefault="00A43D8B" w:rsidP="00A43D8B">
      <w:pPr>
        <w:rPr>
          <w:b/>
          <w:i/>
        </w:rPr>
      </w:pPr>
    </w:p>
    <w:p w14:paraId="68FBFE7A" w14:textId="77777777" w:rsidR="00A43D8B" w:rsidRDefault="00A43D8B" w:rsidP="00A43D8B">
      <w:r>
        <w:t>ACM and several computing community partners commend the U.S. House of Representatives’ passage of a resolution to improve the visibility of computer science as a transforming industry that propels technology innovation and improves economic productivity. The House resolution designates the week of December 7 as “National Computer Science Education Week” and calls on educators and policymakers to improve computer science learning at all education levels and to encourage increased participation in computer science.</w:t>
      </w:r>
    </w:p>
    <w:p w14:paraId="265E6EFB" w14:textId="77777777" w:rsidR="00A43D8B" w:rsidRDefault="00A43D8B" w:rsidP="00A43D8B"/>
    <w:p w14:paraId="0FD452CD" w14:textId="77777777" w:rsidR="00A43D8B" w:rsidRDefault="00A43D8B" w:rsidP="00A43D8B"/>
    <w:tbl>
      <w:tblPr>
        <w:tblW w:w="0" w:type="auto"/>
        <w:tblLook w:val="01E0" w:firstRow="1" w:lastRow="1" w:firstColumn="1" w:lastColumn="1" w:noHBand="0" w:noVBand="0"/>
      </w:tblPr>
      <w:tblGrid>
        <w:gridCol w:w="5198"/>
        <w:gridCol w:w="5199"/>
      </w:tblGrid>
      <w:tr w:rsidR="00A43D8B" w14:paraId="2959D24F" w14:textId="77777777" w:rsidTr="005A33F8">
        <w:tc>
          <w:tcPr>
            <w:tcW w:w="5198" w:type="dxa"/>
            <w:shd w:val="clear" w:color="auto" w:fill="auto"/>
          </w:tcPr>
          <w:p w14:paraId="5F793E1D" w14:textId="77777777" w:rsidR="00A43D8B" w:rsidRDefault="00A43D8B" w:rsidP="005A33F8">
            <w:r>
              <w:t xml:space="preserve">ACM is working with Microsoft, Google, Intel, the Computer Science Teachers association (CSTA). the </w:t>
            </w: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Women &amp; Information Technology (NC WIT), and the Computing Research Association to improve awareness that computer science education is a national priority. “National Computer Science.</w:t>
            </w:r>
          </w:p>
          <w:p w14:paraId="4950CEDA" w14:textId="77777777" w:rsidR="00A43D8B" w:rsidRDefault="00A43D8B" w:rsidP="005A33F8"/>
        </w:tc>
        <w:tc>
          <w:tcPr>
            <w:tcW w:w="5199" w:type="dxa"/>
            <w:shd w:val="clear" w:color="auto" w:fill="auto"/>
          </w:tcPr>
          <w:p w14:paraId="3C1C65C0" w14:textId="77777777" w:rsidR="00A43D8B" w:rsidRDefault="00A43D8B" w:rsidP="005A33F8">
            <w:r>
              <w:t xml:space="preserve">Education Week will help us draw attention to the need for an educational system that values computer science as a discipline and provides students with critical thinking skills and career opportunities,” says ACM Education Policy Committee chair Bobby Schnabel, dean of the </w:t>
            </w:r>
            <w:smartTag w:uri="urn:schemas-microsoft-com:office:smarttags" w:element="PlaceType">
              <w:r>
                <w:t>School</w:t>
              </w:r>
            </w:smartTag>
            <w:r>
              <w:t xml:space="preserve"> of </w:t>
            </w:r>
            <w:smartTag w:uri="urn:schemas-microsoft-com:office:smarttags" w:element="PlaceName">
              <w:r>
                <w:t>Informatics</w:t>
              </w:r>
            </w:smartTag>
            <w:r>
              <w:t xml:space="preserve"> at </w:t>
            </w:r>
            <w:smartTag w:uri="urn:schemas-microsoft-com:office:smarttags" w:element="place">
              <w:smartTag w:uri="urn:schemas-microsoft-com:office:smarttags" w:element="PlaceName">
                <w:r>
                  <w:t>Indiana</w:t>
                </w:r>
              </w:smartTag>
              <w:r>
                <w:t xml:space="preserve"> </w:t>
              </w:r>
              <w:smartTag w:uri="urn:schemas-microsoft-com:office:smarttags" w:element="PlaceType">
                <w:r>
                  <w:t>University</w:t>
                </w:r>
              </w:smartTag>
            </w:smartTag>
          </w:p>
          <w:p w14:paraId="28784773" w14:textId="77777777" w:rsidR="00A43D8B" w:rsidRDefault="00A43D8B" w:rsidP="005A33F8"/>
        </w:tc>
      </w:tr>
    </w:tbl>
    <w:p w14:paraId="75E5D7C5" w14:textId="77777777" w:rsidR="00A43D8B" w:rsidRDefault="00A43D8B" w:rsidP="00A43D8B"/>
    <w:p w14:paraId="0D938DD1" w14:textId="77777777" w:rsidR="00A43D8B" w:rsidRDefault="00A43D8B" w:rsidP="00A43D8B"/>
    <w:p w14:paraId="70B4381B" w14:textId="77777777" w:rsidR="00A43D8B" w:rsidRDefault="00A43D8B" w:rsidP="00A43D8B"/>
    <w:p w14:paraId="4CD951F4" w14:textId="77777777" w:rsidR="00A43D8B" w:rsidRDefault="00A43D8B" w:rsidP="00A43D8B">
      <w:pPr>
        <w:ind w:left="720"/>
      </w:pPr>
      <w:r>
        <w:t>CSTA executive director Chris Stephenson notes the vital role that computing plays in people’s daily lives, and stresses the urgency of building a strong computing workforce. “We need to expose K-12 students to computer science concepts to help them gain critical 21st century skills and knowledge, and we’re grateful for Congress’ recognition of this need as a national priority,” Stephenson says. NC WIT CEO and co-founder Lucy Sanders says the annual commemoration of National Computer Science Education Week can strengthen efforts to inform students, teachers. parents, and the public about how computer science enables innovation in all science, technology, engineering, and mathematics fields and creates economic opportunities.</w:t>
      </w:r>
    </w:p>
    <w:p w14:paraId="4829D814" w14:textId="77777777" w:rsidR="00A43D8B" w:rsidRDefault="00A43D8B" w:rsidP="00A43D8B">
      <w:pPr>
        <w:ind w:left="720"/>
      </w:pPr>
    </w:p>
    <w:p w14:paraId="08535A53" w14:textId="77777777" w:rsidR="00A43D8B" w:rsidRDefault="00A43D8B" w:rsidP="00A43D8B">
      <w:pPr>
        <w:ind w:left="720"/>
        <w:rPr>
          <w:b/>
        </w:rPr>
      </w:pPr>
    </w:p>
    <w:p w14:paraId="00BCDA94" w14:textId="77777777" w:rsidR="00A43D8B" w:rsidRDefault="00A43D8B" w:rsidP="00A43D8B">
      <w:pPr>
        <w:ind w:left="720"/>
        <w:rPr>
          <w:b/>
        </w:rPr>
      </w:pPr>
    </w:p>
    <w:p w14:paraId="681A0A9F" w14:textId="77777777" w:rsidR="00A43D8B" w:rsidRPr="00491CF3" w:rsidRDefault="00A43D8B" w:rsidP="00A43D8B">
      <w:pPr>
        <w:ind w:left="720"/>
        <w:rPr>
          <w:b/>
        </w:rPr>
      </w:pPr>
      <w:r w:rsidRPr="00491CF3">
        <w:rPr>
          <w:b/>
        </w:rPr>
        <w:t>ACM3</w:t>
      </w:r>
    </w:p>
    <w:p w14:paraId="4A167212" w14:textId="77777777" w:rsidR="00A43D8B" w:rsidRPr="00491CF3" w:rsidRDefault="00A43D8B" w:rsidP="00A43D8B">
      <w:pPr>
        <w:ind w:left="720"/>
        <w:rPr>
          <w:b/>
        </w:rPr>
      </w:pPr>
      <w:r w:rsidRPr="00491CF3">
        <w:rPr>
          <w:b/>
        </w:rPr>
        <w:t>Congress Endorses Computer Science Education as Driver of Innovation, Economic</w:t>
      </w:r>
    </w:p>
    <w:p w14:paraId="5A22E897" w14:textId="77777777" w:rsidR="00A43D8B" w:rsidRPr="00491CF3" w:rsidRDefault="00A43D8B" w:rsidP="00A43D8B">
      <w:pPr>
        <w:ind w:left="720"/>
        <w:rPr>
          <w:b/>
        </w:rPr>
      </w:pPr>
      <w:r w:rsidRPr="00491CF3">
        <w:rPr>
          <w:b/>
        </w:rPr>
        <w:t>Growth</w:t>
      </w:r>
    </w:p>
    <w:p w14:paraId="0841D0B6" w14:textId="77777777" w:rsidR="00A43D8B" w:rsidRPr="00491CF3" w:rsidRDefault="00A43D8B" w:rsidP="00A43D8B">
      <w:pPr>
        <w:ind w:left="720"/>
        <w:rPr>
          <w:b/>
        </w:rPr>
      </w:pPr>
      <w:r w:rsidRPr="00491CF3">
        <w:rPr>
          <w:b/>
        </w:rPr>
        <w:t>ACM (10/21/09)</w:t>
      </w:r>
    </w:p>
    <w:p w14:paraId="5FF08026" w14:textId="77777777" w:rsidR="00A43D8B" w:rsidRDefault="00A43D8B" w:rsidP="00A43D8B">
      <w:pPr>
        <w:ind w:left="720"/>
      </w:pPr>
      <w:r>
        <w:t>ACM and several computing community partners commend the U.S. House of Representatives’ passage of a resolution to improve the visibility of computer science as a transforming industry that propels technology innovation and improves economic productivity. The house resolution designates the week of December 7 as “National Computer Science Education Week” and calls on educators and policymakers to improve computer science learning at all education levels and to encourage increased participation in computer science.</w:t>
      </w:r>
    </w:p>
    <w:p w14:paraId="28712E30" w14:textId="77777777" w:rsidR="00A43D8B" w:rsidRDefault="00A43D8B" w:rsidP="00A43D8B">
      <w:pPr>
        <w:ind w:left="720"/>
      </w:pPr>
    </w:p>
    <w:p w14:paraId="1905AEFF" w14:textId="77777777" w:rsidR="00A43D8B" w:rsidRDefault="00A43D8B" w:rsidP="00A43D8B">
      <w:pPr>
        <w:ind w:left="720"/>
      </w:pPr>
      <w:r w:rsidRPr="00C02F2F">
        <w:t xml:space="preserve">ACM is </w:t>
      </w:r>
      <w:r>
        <w:t>w</w:t>
      </w:r>
      <w:r w:rsidRPr="00C02F2F">
        <w:t>orking with Microsoft. Google, Intel, the Computer Science Teachers Association (CS rA), the National Center for Women &amp; lnfo</w:t>
      </w:r>
      <w:r>
        <w:t>rm</w:t>
      </w:r>
      <w:r w:rsidRPr="00C02F2F">
        <w:t>ation Technology (NC WIT), and the Computing Research Association to improve awareness that computer science education is a national priority. “National Computer Science Education Week will help us draw attention to the need for an educational system that values computer science as a discipline and provides students with critical thinking skills and career opportunities.” says A</w:t>
      </w:r>
      <w:r>
        <w:t>CM Education Policy Committee c</w:t>
      </w:r>
      <w:r w:rsidRPr="00C02F2F">
        <w:t>hair Bobby Schnabel</w:t>
      </w:r>
      <w:r>
        <w:t>. dean of the School of lnform</w:t>
      </w:r>
      <w:r w:rsidRPr="00C02F2F">
        <w:t xml:space="preserve">atics at </w:t>
      </w:r>
      <w:smartTag w:uri="urn:schemas-microsoft-com:office:smarttags" w:element="place">
        <w:smartTag w:uri="urn:schemas-microsoft-com:office:smarttags" w:element="PlaceName">
          <w:r w:rsidRPr="00C02F2F">
            <w:t>Indiana</w:t>
          </w:r>
        </w:smartTag>
        <w:r w:rsidRPr="00C02F2F">
          <w:t xml:space="preserve"> </w:t>
        </w:r>
        <w:smartTag w:uri="urn:schemas-microsoft-com:office:smarttags" w:element="PlaceType">
          <w:r w:rsidRPr="00C02F2F">
            <w:t>University</w:t>
          </w:r>
        </w:smartTag>
      </w:smartTag>
      <w:r w:rsidRPr="00C02F2F">
        <w:t>.</w:t>
      </w:r>
    </w:p>
    <w:p w14:paraId="0A173206" w14:textId="77777777" w:rsidR="00A43D8B" w:rsidRDefault="00A43D8B" w:rsidP="00A43D8B">
      <w:pPr>
        <w:ind w:left="720"/>
      </w:pPr>
    </w:p>
    <w:tbl>
      <w:tblPr>
        <w:tblW w:w="756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512"/>
        <w:gridCol w:w="2856"/>
      </w:tblGrid>
      <w:tr w:rsidR="00A43D8B" w:rsidRPr="006E3A8E" w14:paraId="256A4291" w14:textId="77777777" w:rsidTr="005A33F8">
        <w:tc>
          <w:tcPr>
            <w:tcW w:w="2340" w:type="dxa"/>
            <w:shd w:val="clear" w:color="auto" w:fill="auto"/>
          </w:tcPr>
          <w:p w14:paraId="36E6CB4D" w14:textId="77777777" w:rsidR="00A43D8B" w:rsidRPr="006E3A8E" w:rsidRDefault="00A43D8B" w:rsidP="005A33F8">
            <w:pPr>
              <w:spacing w:line="360" w:lineRule="auto"/>
              <w:rPr>
                <w:b/>
              </w:rPr>
            </w:pPr>
            <w:r w:rsidRPr="006E3A8E">
              <w:rPr>
                <w:b/>
              </w:rPr>
              <w:t>PACKAGE</w:t>
            </w:r>
          </w:p>
        </w:tc>
        <w:tc>
          <w:tcPr>
            <w:tcW w:w="2700" w:type="dxa"/>
            <w:shd w:val="clear" w:color="auto" w:fill="auto"/>
          </w:tcPr>
          <w:p w14:paraId="4F120883" w14:textId="77777777" w:rsidR="00A43D8B" w:rsidRPr="006E3A8E" w:rsidRDefault="00A43D8B" w:rsidP="005A33F8">
            <w:pPr>
              <w:spacing w:line="360" w:lineRule="auto"/>
              <w:rPr>
                <w:b/>
              </w:rPr>
            </w:pPr>
            <w:r w:rsidRPr="006E3A8E">
              <w:rPr>
                <w:b/>
              </w:rPr>
              <w:t>DURATION</w:t>
            </w:r>
          </w:p>
        </w:tc>
        <w:tc>
          <w:tcPr>
            <w:tcW w:w="2520" w:type="dxa"/>
            <w:tcBorders>
              <w:bottom w:val="single" w:sz="4" w:space="0" w:color="auto"/>
            </w:tcBorders>
            <w:shd w:val="clear" w:color="auto" w:fill="auto"/>
          </w:tcPr>
          <w:p w14:paraId="01DD64A2" w14:textId="77777777" w:rsidR="00A43D8B" w:rsidRPr="006E3A8E" w:rsidRDefault="00A43D8B" w:rsidP="005A33F8">
            <w:pPr>
              <w:spacing w:line="360" w:lineRule="auto"/>
              <w:rPr>
                <w:b/>
              </w:rPr>
            </w:pPr>
            <w:r w:rsidRPr="006E3A8E">
              <w:rPr>
                <w:b/>
              </w:rPr>
              <w:t>FEES</w:t>
            </w:r>
          </w:p>
        </w:tc>
      </w:tr>
      <w:tr w:rsidR="00A43D8B" w:rsidRPr="006E3A8E" w14:paraId="73F1D4A5" w14:textId="77777777" w:rsidTr="005A33F8">
        <w:tc>
          <w:tcPr>
            <w:tcW w:w="2340" w:type="dxa"/>
            <w:shd w:val="clear" w:color="auto" w:fill="auto"/>
          </w:tcPr>
          <w:p w14:paraId="7888727E" w14:textId="77777777" w:rsidR="00A43D8B" w:rsidRPr="006E3A8E" w:rsidRDefault="00A43D8B" w:rsidP="005A33F8">
            <w:pPr>
              <w:spacing w:line="360" w:lineRule="auto"/>
              <w:rPr>
                <w:b/>
              </w:rPr>
            </w:pPr>
            <w:r w:rsidRPr="006E3A8E">
              <w:rPr>
                <w:b/>
              </w:rPr>
              <w:t>WORD</w:t>
            </w:r>
          </w:p>
        </w:tc>
        <w:tc>
          <w:tcPr>
            <w:tcW w:w="2700" w:type="dxa"/>
            <w:tcBorders>
              <w:bottom w:val="single" w:sz="4" w:space="0" w:color="auto"/>
            </w:tcBorders>
            <w:shd w:val="clear" w:color="auto" w:fill="auto"/>
          </w:tcPr>
          <w:p w14:paraId="259D36FF" w14:textId="77777777" w:rsidR="00A43D8B" w:rsidRPr="006E3A8E" w:rsidRDefault="00A43D8B" w:rsidP="005A33F8">
            <w:pPr>
              <w:spacing w:line="360" w:lineRule="auto"/>
              <w:rPr>
                <w:b/>
              </w:rPr>
            </w:pPr>
          </w:p>
        </w:tc>
        <w:tc>
          <w:tcPr>
            <w:tcW w:w="2520" w:type="dxa"/>
            <w:tcBorders>
              <w:bottom w:val="nil"/>
            </w:tcBorders>
            <w:shd w:val="clear" w:color="auto" w:fill="auto"/>
          </w:tcPr>
          <w:p w14:paraId="1B53ABC8" w14:textId="77777777" w:rsidR="00A43D8B" w:rsidRPr="006E3A8E" w:rsidRDefault="00A43D8B" w:rsidP="005A33F8">
            <w:pPr>
              <w:spacing w:line="360" w:lineRule="auto"/>
              <w:ind w:left="2160"/>
              <w:rPr>
                <w:b/>
              </w:rPr>
            </w:pPr>
            <w:r w:rsidRPr="006E3A8E">
              <w:rPr>
                <w:b/>
              </w:rPr>
              <w:t>1500</w:t>
            </w:r>
          </w:p>
        </w:tc>
      </w:tr>
      <w:tr w:rsidR="00A43D8B" w:rsidRPr="006E3A8E" w14:paraId="6EC71535" w14:textId="77777777" w:rsidTr="005A33F8">
        <w:tc>
          <w:tcPr>
            <w:tcW w:w="2340" w:type="dxa"/>
            <w:shd w:val="clear" w:color="auto" w:fill="auto"/>
          </w:tcPr>
          <w:p w14:paraId="1F77B89A" w14:textId="77777777" w:rsidR="00A43D8B" w:rsidRPr="006E3A8E" w:rsidRDefault="00A43D8B" w:rsidP="005A33F8">
            <w:pPr>
              <w:spacing w:line="360" w:lineRule="auto"/>
              <w:rPr>
                <w:b/>
              </w:rPr>
            </w:pPr>
            <w:r w:rsidRPr="006E3A8E">
              <w:rPr>
                <w:b/>
              </w:rPr>
              <w:t>EXCEL</w:t>
            </w:r>
          </w:p>
        </w:tc>
        <w:tc>
          <w:tcPr>
            <w:tcW w:w="2700" w:type="dxa"/>
            <w:tcBorders>
              <w:right w:val="single" w:sz="4" w:space="0" w:color="auto"/>
            </w:tcBorders>
            <w:shd w:val="clear" w:color="auto" w:fill="auto"/>
          </w:tcPr>
          <w:p w14:paraId="4EF1ACC2" w14:textId="77777777" w:rsidR="00A43D8B" w:rsidRPr="006E3A8E" w:rsidRDefault="00A43D8B" w:rsidP="005A33F8">
            <w:pPr>
              <w:spacing w:line="360" w:lineRule="auto"/>
              <w:rPr>
                <w:b/>
              </w:rPr>
            </w:pPr>
            <w:r w:rsidRPr="006E3A8E">
              <w:rPr>
                <w:b/>
              </w:rPr>
              <w:t>20 HOURS</w:t>
            </w:r>
          </w:p>
        </w:tc>
        <w:tc>
          <w:tcPr>
            <w:tcW w:w="2520" w:type="dxa"/>
            <w:tcBorders>
              <w:top w:val="nil"/>
              <w:left w:val="single" w:sz="4" w:space="0" w:color="auto"/>
              <w:bottom w:val="nil"/>
              <w:right w:val="single" w:sz="4" w:space="0" w:color="auto"/>
            </w:tcBorders>
            <w:shd w:val="clear" w:color="auto" w:fill="auto"/>
          </w:tcPr>
          <w:p w14:paraId="287D6CE3" w14:textId="77777777" w:rsidR="00A43D8B" w:rsidRPr="006E3A8E" w:rsidRDefault="00A43D8B" w:rsidP="005A33F8">
            <w:pPr>
              <w:spacing w:line="360" w:lineRule="auto"/>
              <w:rPr>
                <w:b/>
              </w:rPr>
            </w:pPr>
          </w:p>
        </w:tc>
      </w:tr>
      <w:tr w:rsidR="00A43D8B" w:rsidRPr="006E3A8E" w14:paraId="0709C912" w14:textId="77777777" w:rsidTr="005A33F8">
        <w:tc>
          <w:tcPr>
            <w:tcW w:w="2340" w:type="dxa"/>
            <w:shd w:val="clear" w:color="auto" w:fill="auto"/>
          </w:tcPr>
          <w:p w14:paraId="66857CCD" w14:textId="77777777" w:rsidR="00A43D8B" w:rsidRPr="006E3A8E" w:rsidRDefault="00A43D8B" w:rsidP="005A33F8">
            <w:pPr>
              <w:spacing w:line="360" w:lineRule="auto"/>
              <w:rPr>
                <w:b/>
              </w:rPr>
            </w:pPr>
            <w:r w:rsidRPr="006E3A8E">
              <w:rPr>
                <w:b/>
              </w:rPr>
              <w:t>ACCESS</w:t>
            </w:r>
          </w:p>
        </w:tc>
        <w:tc>
          <w:tcPr>
            <w:tcW w:w="2700" w:type="dxa"/>
            <w:tcBorders>
              <w:right w:val="single" w:sz="4" w:space="0" w:color="auto"/>
            </w:tcBorders>
            <w:shd w:val="clear" w:color="auto" w:fill="auto"/>
          </w:tcPr>
          <w:p w14:paraId="2A11A9B4" w14:textId="77777777" w:rsidR="00A43D8B" w:rsidRPr="006E3A8E" w:rsidRDefault="00A43D8B" w:rsidP="005A33F8">
            <w:pPr>
              <w:spacing w:line="360" w:lineRule="auto"/>
              <w:rPr>
                <w:b/>
              </w:rPr>
            </w:pPr>
            <w:r w:rsidRPr="006E3A8E">
              <w:rPr>
                <w:b/>
              </w:rPr>
              <w:t>25HOURS</w:t>
            </w:r>
          </w:p>
        </w:tc>
        <w:tc>
          <w:tcPr>
            <w:tcW w:w="2520" w:type="dxa"/>
            <w:tcBorders>
              <w:top w:val="nil"/>
              <w:left w:val="single" w:sz="4" w:space="0" w:color="auto"/>
              <w:bottom w:val="nil"/>
              <w:right w:val="single" w:sz="4" w:space="0" w:color="auto"/>
            </w:tcBorders>
            <w:shd w:val="clear" w:color="auto" w:fill="auto"/>
          </w:tcPr>
          <w:p w14:paraId="02A82115" w14:textId="77777777" w:rsidR="00A43D8B" w:rsidRPr="006E3A8E" w:rsidRDefault="00A43D8B" w:rsidP="005A33F8">
            <w:pPr>
              <w:spacing w:line="360" w:lineRule="auto"/>
              <w:ind w:left="2160"/>
              <w:rPr>
                <w:b/>
              </w:rPr>
            </w:pPr>
            <w:r w:rsidRPr="006E3A8E">
              <w:rPr>
                <w:b/>
              </w:rPr>
              <w:t>3000</w:t>
            </w:r>
          </w:p>
        </w:tc>
      </w:tr>
      <w:tr w:rsidR="00A43D8B" w:rsidRPr="006E3A8E" w14:paraId="5CB720C1" w14:textId="77777777" w:rsidTr="005A33F8">
        <w:tc>
          <w:tcPr>
            <w:tcW w:w="2340" w:type="dxa"/>
            <w:shd w:val="clear" w:color="auto" w:fill="auto"/>
          </w:tcPr>
          <w:p w14:paraId="1D7371FD" w14:textId="77777777" w:rsidR="00A43D8B" w:rsidRPr="006E3A8E" w:rsidRDefault="00A43D8B" w:rsidP="005A33F8">
            <w:pPr>
              <w:spacing w:line="360" w:lineRule="auto"/>
              <w:rPr>
                <w:b/>
              </w:rPr>
            </w:pPr>
            <w:r w:rsidRPr="006E3A8E">
              <w:rPr>
                <w:b/>
              </w:rPr>
              <w:t>DTP</w:t>
            </w:r>
          </w:p>
        </w:tc>
        <w:tc>
          <w:tcPr>
            <w:tcW w:w="2700" w:type="dxa"/>
            <w:shd w:val="clear" w:color="auto" w:fill="auto"/>
          </w:tcPr>
          <w:p w14:paraId="70E8B517" w14:textId="77777777" w:rsidR="00A43D8B" w:rsidRPr="006E3A8E" w:rsidRDefault="00A43D8B" w:rsidP="005A33F8">
            <w:pPr>
              <w:spacing w:line="360" w:lineRule="auto"/>
              <w:rPr>
                <w:b/>
              </w:rPr>
            </w:pPr>
            <w:r w:rsidRPr="006E3A8E">
              <w:rPr>
                <w:b/>
              </w:rPr>
              <w:t>15 HOURS</w:t>
            </w:r>
          </w:p>
        </w:tc>
        <w:tc>
          <w:tcPr>
            <w:tcW w:w="2520" w:type="dxa"/>
            <w:tcBorders>
              <w:top w:val="nil"/>
            </w:tcBorders>
            <w:shd w:val="clear" w:color="auto" w:fill="auto"/>
          </w:tcPr>
          <w:p w14:paraId="2A781B2C" w14:textId="77777777" w:rsidR="00A43D8B" w:rsidRPr="006E3A8E" w:rsidRDefault="00A43D8B" w:rsidP="005A33F8">
            <w:pPr>
              <w:spacing w:line="360" w:lineRule="auto"/>
              <w:ind w:left="2160"/>
              <w:rPr>
                <w:b/>
              </w:rPr>
            </w:pPr>
            <w:r w:rsidRPr="006E3A8E">
              <w:rPr>
                <w:b/>
              </w:rPr>
              <w:t>3500</w:t>
            </w:r>
          </w:p>
        </w:tc>
      </w:tr>
    </w:tbl>
    <w:p w14:paraId="787067AC" w14:textId="77777777" w:rsidR="00A43D8B" w:rsidRDefault="00A43D8B" w:rsidP="00A43D8B">
      <w:pPr>
        <w:ind w:left="720"/>
      </w:pPr>
    </w:p>
    <w:p w14:paraId="0B463057" w14:textId="77777777" w:rsidR="00A43D8B" w:rsidRDefault="00A43D8B" w:rsidP="00A43D8B">
      <w:pPr>
        <w:ind w:left="720"/>
      </w:pPr>
      <w:r>
        <w:t>CSTA executive director Chris Stephenson notes the vital role that computing plays in people’s daily lives, and stresses the urgency of building a strong computing workforce. “We need to expose K-12 students to computer science concepts to help them gain critical 21st century skills and knowledge, and we’re grateful for Congress’ recognition of this need as a national priority,” Stephenson says. NC WIT CEO and co-founder Lucy Sanders says the annual commemoration of National Computer Science Education Week can strengthen efforts to inform students, teachers, parents, and the public about how computer science enables innovation in all science, technology, engineering, and mathematics fields and creates economic opportunities.</w:t>
      </w:r>
    </w:p>
    <w:p w14:paraId="1EB94104" w14:textId="77777777" w:rsidR="0099614E" w:rsidRDefault="0099614E" w:rsidP="0099614E">
      <w:pPr>
        <w:spacing w:line="360" w:lineRule="auto"/>
        <w:rPr>
          <w:b/>
        </w:rPr>
      </w:pPr>
    </w:p>
    <w:p w14:paraId="43FFEDE6" w14:textId="77777777" w:rsidR="0099614E" w:rsidRPr="0099614E" w:rsidRDefault="0099614E" w:rsidP="0099614E">
      <w:pPr>
        <w:spacing w:line="360" w:lineRule="auto"/>
        <w:rPr>
          <w:b/>
          <w:u w:val="single"/>
        </w:rPr>
      </w:pPr>
      <w:r w:rsidRPr="0099614E">
        <w:rPr>
          <w:b/>
          <w:u w:val="single"/>
        </w:rPr>
        <w:t>QUESTION 2</w:t>
      </w:r>
    </w:p>
    <w:p w14:paraId="4C567A47" w14:textId="77777777" w:rsidR="0099614E" w:rsidRDefault="0099614E" w:rsidP="0099614E">
      <w:pPr>
        <w:spacing w:line="360" w:lineRule="auto"/>
      </w:pPr>
      <w:r>
        <w:t>a)</w:t>
      </w:r>
      <w:r>
        <w:tab/>
        <w:t>Correctly creating a worksheet that contains the information given. (4 marks)</w:t>
      </w:r>
    </w:p>
    <w:p w14:paraId="2C9DDAF3" w14:textId="77777777" w:rsidR="0099614E" w:rsidRPr="00C1645F" w:rsidRDefault="0099614E" w:rsidP="0099614E">
      <w:pPr>
        <w:spacing w:line="360" w:lineRule="auto"/>
        <w:ind w:left="360"/>
      </w:pPr>
      <w:r>
        <w:tab/>
        <w:t>Saving as Test 1</w:t>
      </w:r>
      <w:r>
        <w:rPr>
          <w:b/>
        </w:rPr>
        <w:t xml:space="preserve">. </w:t>
      </w:r>
      <w:r w:rsidRPr="007841DE">
        <w:t>(</w:t>
      </w:r>
      <w:r>
        <w:t>1</w:t>
      </w:r>
      <w:r w:rsidRPr="007841DE">
        <w:t xml:space="preserve"> mark)</w:t>
      </w:r>
    </w:p>
    <w:p w14:paraId="3EE557FF" w14:textId="77777777" w:rsidR="0099614E" w:rsidRDefault="0099614E" w:rsidP="0099614E">
      <w:pPr>
        <w:spacing w:line="360" w:lineRule="auto"/>
        <w:ind w:left="360"/>
      </w:pPr>
      <w:r>
        <w:t>b)</w:t>
      </w:r>
      <w:r>
        <w:tab/>
        <w:t>Four new columns and labeled as:</w:t>
      </w:r>
    </w:p>
    <w:p w14:paraId="7F6DA28E" w14:textId="77777777" w:rsidR="0099614E" w:rsidRPr="00E047BB" w:rsidRDefault="0099614E" w:rsidP="0099614E">
      <w:pPr>
        <w:spacing w:line="360" w:lineRule="auto"/>
        <w:ind w:left="360"/>
        <w:rPr>
          <w:lang w:val="de-DE"/>
        </w:rPr>
      </w:pPr>
      <w:r>
        <w:tab/>
        <w:t xml:space="preserve"> </w:t>
      </w:r>
      <w:r w:rsidRPr="00E047BB">
        <w:rPr>
          <w:lang w:val="de-DE"/>
        </w:rPr>
        <w:t>TOTAL;</w:t>
      </w:r>
      <w:r w:rsidRPr="00E047BB">
        <w:rPr>
          <w:lang w:val="de-DE"/>
        </w:rPr>
        <w:tab/>
        <w:t>(</w:t>
      </w:r>
      <w:r w:rsidRPr="00E047BB">
        <w:rPr>
          <w:vertAlign w:val="superscript"/>
          <w:lang w:val="de-DE"/>
        </w:rPr>
        <w:t>1</w:t>
      </w:r>
      <w:r w:rsidRPr="00E047BB">
        <w:rPr>
          <w:lang w:val="de-DE"/>
        </w:rPr>
        <w:t>/</w:t>
      </w:r>
      <w:r w:rsidRPr="00E047BB">
        <w:rPr>
          <w:vertAlign w:val="subscript"/>
          <w:lang w:val="de-DE"/>
        </w:rPr>
        <w:t>2</w:t>
      </w:r>
      <w:r w:rsidRPr="00E047BB">
        <w:rPr>
          <w:lang w:val="de-DE"/>
        </w:rPr>
        <w:t xml:space="preserve"> mark)</w:t>
      </w:r>
    </w:p>
    <w:p w14:paraId="2C022862" w14:textId="77777777" w:rsidR="0099614E" w:rsidRPr="00E047BB" w:rsidRDefault="0099614E" w:rsidP="0099614E">
      <w:pPr>
        <w:spacing w:line="360" w:lineRule="auto"/>
        <w:ind w:left="360"/>
        <w:rPr>
          <w:lang w:val="de-DE"/>
        </w:rPr>
      </w:pPr>
      <w:r w:rsidRPr="00E047BB">
        <w:rPr>
          <w:lang w:val="de-DE"/>
        </w:rPr>
        <w:tab/>
        <w:t xml:space="preserve"> MEAN;</w:t>
      </w:r>
      <w:r w:rsidRPr="00E047BB">
        <w:rPr>
          <w:lang w:val="de-DE"/>
        </w:rPr>
        <w:tab/>
        <w:t>(</w:t>
      </w:r>
      <w:r w:rsidRPr="00E047BB">
        <w:rPr>
          <w:vertAlign w:val="superscript"/>
          <w:lang w:val="de-DE"/>
        </w:rPr>
        <w:t>1</w:t>
      </w:r>
      <w:r w:rsidRPr="00E047BB">
        <w:rPr>
          <w:lang w:val="de-DE"/>
        </w:rPr>
        <w:t>/</w:t>
      </w:r>
      <w:r w:rsidRPr="00E047BB">
        <w:rPr>
          <w:vertAlign w:val="subscript"/>
          <w:lang w:val="de-DE"/>
        </w:rPr>
        <w:t>2</w:t>
      </w:r>
      <w:r w:rsidRPr="00E047BB">
        <w:rPr>
          <w:lang w:val="de-DE"/>
        </w:rPr>
        <w:t xml:space="preserve"> mark)</w:t>
      </w:r>
    </w:p>
    <w:p w14:paraId="69D408BF" w14:textId="77777777" w:rsidR="0099614E" w:rsidRPr="00E047BB" w:rsidRDefault="0099614E" w:rsidP="0099614E">
      <w:pPr>
        <w:spacing w:line="360" w:lineRule="auto"/>
        <w:ind w:left="360"/>
        <w:rPr>
          <w:lang w:val="de-DE"/>
        </w:rPr>
      </w:pPr>
      <w:r w:rsidRPr="00E047BB">
        <w:rPr>
          <w:lang w:val="de-DE"/>
        </w:rPr>
        <w:tab/>
        <w:t xml:space="preserve"> GRADE;</w:t>
      </w:r>
      <w:r w:rsidRPr="00E047BB">
        <w:rPr>
          <w:lang w:val="de-DE"/>
        </w:rPr>
        <w:tab/>
        <w:t>(</w:t>
      </w:r>
      <w:r w:rsidRPr="00E047BB">
        <w:rPr>
          <w:vertAlign w:val="superscript"/>
          <w:lang w:val="de-DE"/>
        </w:rPr>
        <w:t>1</w:t>
      </w:r>
      <w:r w:rsidRPr="00E047BB">
        <w:rPr>
          <w:lang w:val="de-DE"/>
        </w:rPr>
        <w:t>/</w:t>
      </w:r>
      <w:r w:rsidRPr="00E047BB">
        <w:rPr>
          <w:vertAlign w:val="subscript"/>
          <w:lang w:val="de-DE"/>
        </w:rPr>
        <w:t>2</w:t>
      </w:r>
      <w:r w:rsidRPr="00E047BB">
        <w:rPr>
          <w:lang w:val="de-DE"/>
        </w:rPr>
        <w:t xml:space="preserve"> mark)</w:t>
      </w:r>
    </w:p>
    <w:p w14:paraId="06607CBA" w14:textId="77777777" w:rsidR="0099614E" w:rsidRDefault="0099614E" w:rsidP="0099614E">
      <w:pPr>
        <w:spacing w:line="360" w:lineRule="auto"/>
        <w:ind w:left="360"/>
      </w:pPr>
      <w:r w:rsidRPr="00E047BB">
        <w:rPr>
          <w:lang w:val="de-DE"/>
        </w:rPr>
        <w:tab/>
      </w:r>
      <w:r>
        <w:t>REMARK.</w:t>
      </w:r>
      <w:r>
        <w:tab/>
        <w:t>(</w:t>
      </w:r>
      <w:r w:rsidRPr="00F35C69">
        <w:rPr>
          <w:vertAlign w:val="superscript"/>
        </w:rPr>
        <w:t>1</w:t>
      </w:r>
      <w:r>
        <w:t>/</w:t>
      </w:r>
      <w:r w:rsidRPr="00F35C69">
        <w:rPr>
          <w:vertAlign w:val="subscript"/>
        </w:rPr>
        <w:t>2</w:t>
      </w:r>
      <w:r>
        <w:t xml:space="preserve"> mark)</w:t>
      </w:r>
    </w:p>
    <w:p w14:paraId="3E9DB048" w14:textId="77777777" w:rsidR="0099614E" w:rsidRDefault="0099614E" w:rsidP="0099614E">
      <w:pPr>
        <w:spacing w:line="360" w:lineRule="auto"/>
        <w:ind w:left="720" w:hanging="360"/>
      </w:pPr>
      <w:r>
        <w:t>c)</w:t>
      </w:r>
      <w:r>
        <w:tab/>
        <w:t xml:space="preserve">i) Using formulas  compute the total and  mean for Muigai K. and copy it </w:t>
      </w:r>
      <w:r>
        <w:tab/>
        <w:t>to other cells to generate values for the other students.</w:t>
      </w:r>
      <w:r>
        <w:tab/>
      </w:r>
      <w:r>
        <w:tab/>
      </w:r>
      <w:r>
        <w:tab/>
      </w:r>
      <w:r>
        <w:tab/>
      </w:r>
      <w:r>
        <w:tab/>
      </w:r>
      <w:r>
        <w:tab/>
        <w:t>(4 marks)</w:t>
      </w:r>
    </w:p>
    <w:p w14:paraId="42808349" w14:textId="77777777" w:rsidR="0099614E" w:rsidRDefault="0099614E" w:rsidP="0099614E">
      <w:pPr>
        <w:spacing w:line="360" w:lineRule="auto"/>
        <w:ind w:left="720"/>
      </w:pPr>
      <w:r>
        <w:t>ii) Using an appropriate function to determine a grade and a remark for Muigai K.</w:t>
      </w:r>
      <w:r>
        <w:tab/>
        <w:t>(8 marks)</w:t>
      </w:r>
    </w:p>
    <w:p w14:paraId="57396C26" w14:textId="77777777" w:rsidR="0099614E" w:rsidRDefault="0099614E" w:rsidP="0099614E">
      <w:pPr>
        <w:spacing w:line="360" w:lineRule="auto"/>
        <w:ind w:left="720" w:hanging="720"/>
      </w:pPr>
      <w:r>
        <w:tab/>
        <w:t xml:space="preserve">ii) Copying the formulas to other cells in order to generate total, mean, grades and remarks for all the other students. Save your work as </w:t>
      </w:r>
      <w:r w:rsidRPr="00E82864">
        <w:t>Test 2</w:t>
      </w:r>
      <w:r>
        <w:t>.</w:t>
      </w:r>
      <w:r>
        <w:tab/>
      </w:r>
      <w:r>
        <w:tab/>
      </w:r>
      <w:r>
        <w:tab/>
      </w:r>
      <w:r>
        <w:tab/>
      </w:r>
      <w:r>
        <w:tab/>
      </w:r>
      <w:r>
        <w:tab/>
        <w:t>(3 marks)</w:t>
      </w:r>
    </w:p>
    <w:p w14:paraId="50F6C578" w14:textId="77777777" w:rsidR="0099614E" w:rsidRDefault="0099614E" w:rsidP="0099614E">
      <w:pPr>
        <w:spacing w:line="360" w:lineRule="auto"/>
        <w:ind w:left="720" w:hanging="720"/>
      </w:pPr>
      <w:r>
        <w:tab/>
        <w:t>iii) Format the mean marks to one decimal place.</w:t>
      </w:r>
      <w:r>
        <w:tab/>
      </w:r>
      <w:r>
        <w:tab/>
      </w:r>
      <w:r>
        <w:tab/>
      </w:r>
      <w:r>
        <w:tab/>
      </w:r>
      <w:r>
        <w:tab/>
        <w:t>(1 mark)</w:t>
      </w:r>
    </w:p>
    <w:p w14:paraId="26027A5E" w14:textId="77777777" w:rsidR="0099614E" w:rsidRDefault="0099614E" w:rsidP="0099614E">
      <w:pPr>
        <w:spacing w:line="360" w:lineRule="auto"/>
        <w:ind w:left="360"/>
      </w:pPr>
      <w:r>
        <w:t>d)</w:t>
      </w:r>
      <w:r>
        <w:tab/>
        <w:t>Determine those students who are likely to qualify for a course in medicine.</w:t>
      </w:r>
      <w:r>
        <w:tab/>
        <w:t>(4 marks)</w:t>
      </w:r>
    </w:p>
    <w:p w14:paraId="481D1F98" w14:textId="77777777" w:rsidR="0099614E" w:rsidRDefault="0099614E" w:rsidP="0099614E">
      <w:pPr>
        <w:spacing w:line="360" w:lineRule="auto"/>
        <w:ind w:left="360"/>
      </w:pPr>
      <w:r>
        <w:t>e)</w:t>
      </w:r>
      <w:r>
        <w:tab/>
        <w:t>Determine the position of each student.</w:t>
      </w:r>
      <w:r>
        <w:tab/>
      </w:r>
      <w:r>
        <w:tab/>
      </w:r>
      <w:r>
        <w:tab/>
      </w:r>
      <w:r>
        <w:tab/>
      </w:r>
      <w:r>
        <w:tab/>
      </w:r>
      <w:r>
        <w:tab/>
        <w:t>(4 marks)</w:t>
      </w:r>
    </w:p>
    <w:p w14:paraId="2051F3F2" w14:textId="77777777" w:rsidR="0099614E" w:rsidRDefault="0099614E" w:rsidP="0099614E">
      <w:pPr>
        <w:spacing w:line="360" w:lineRule="auto"/>
        <w:ind w:left="360"/>
      </w:pPr>
      <w:r>
        <w:t>f)</w:t>
      </w:r>
      <w:r>
        <w:tab/>
        <w:t>Apply borders to the worksheet as follows:</w:t>
      </w:r>
    </w:p>
    <w:p w14:paraId="030849B5" w14:textId="77777777" w:rsidR="0099614E" w:rsidRDefault="0099614E" w:rsidP="0099614E">
      <w:pPr>
        <w:spacing w:line="360" w:lineRule="auto"/>
        <w:ind w:left="720" w:hanging="720"/>
      </w:pPr>
      <w:r>
        <w:tab/>
        <w:t>i) Double outline border.</w:t>
      </w:r>
      <w:r>
        <w:tab/>
      </w:r>
      <w:r>
        <w:tab/>
      </w:r>
      <w:r>
        <w:tab/>
      </w:r>
      <w:r>
        <w:tab/>
      </w:r>
      <w:r>
        <w:tab/>
      </w:r>
      <w:r>
        <w:tab/>
      </w:r>
      <w:r>
        <w:tab/>
      </w:r>
      <w:r>
        <w:tab/>
        <w:t>(1 mark)</w:t>
      </w:r>
    </w:p>
    <w:p w14:paraId="70006078" w14:textId="77777777" w:rsidR="0099614E" w:rsidRDefault="0099614E" w:rsidP="0099614E">
      <w:pPr>
        <w:spacing w:line="360" w:lineRule="auto"/>
        <w:ind w:left="720" w:hanging="720"/>
      </w:pPr>
      <w:r>
        <w:tab/>
        <w:t>ii) Single line for inside vertical and horizontal borders.</w:t>
      </w:r>
      <w:r>
        <w:tab/>
      </w:r>
      <w:r>
        <w:tab/>
      </w:r>
      <w:r>
        <w:tab/>
      </w:r>
      <w:r>
        <w:tab/>
        <w:t>(1 mark)</w:t>
      </w:r>
    </w:p>
    <w:p w14:paraId="5981D2E1" w14:textId="77777777" w:rsidR="0099614E" w:rsidRDefault="0099614E" w:rsidP="0099614E">
      <w:pPr>
        <w:spacing w:line="360" w:lineRule="auto"/>
        <w:ind w:left="360"/>
      </w:pPr>
      <w:r>
        <w:t>g)</w:t>
      </w:r>
      <w:r>
        <w:tab/>
        <w:t xml:space="preserve">Copy the data on sheet1 to sheet2 and rename the sheet2 as QUALIFY. </w:t>
      </w:r>
      <w:r>
        <w:tab/>
      </w:r>
      <w:r>
        <w:tab/>
        <w:t>(1 mark)</w:t>
      </w:r>
    </w:p>
    <w:p w14:paraId="6483F93F" w14:textId="77777777" w:rsidR="0099614E" w:rsidRDefault="0099614E" w:rsidP="0099614E">
      <w:pPr>
        <w:spacing w:line="360" w:lineRule="auto"/>
        <w:ind w:left="360"/>
      </w:pPr>
      <w:r>
        <w:tab/>
        <w:t>Filter the worksheet to display the records of the students who qualify.</w:t>
      </w:r>
      <w:r>
        <w:tab/>
      </w:r>
      <w:r>
        <w:tab/>
        <w:t>(3 mark)</w:t>
      </w:r>
    </w:p>
    <w:p w14:paraId="35FDDB3A" w14:textId="77777777" w:rsidR="0099614E" w:rsidRDefault="0099614E" w:rsidP="0099614E">
      <w:pPr>
        <w:spacing w:line="360" w:lineRule="auto"/>
        <w:ind w:left="720" w:hanging="360"/>
      </w:pPr>
      <w:r>
        <w:t>h)</w:t>
      </w:r>
      <w:r>
        <w:tab/>
        <w:t>Create a bar graph on a separate sheet to compare the performance of the first four  students in the six subjects. Label the bar graph appropriately.</w:t>
      </w:r>
      <w:r>
        <w:tab/>
      </w:r>
      <w:r>
        <w:tab/>
      </w:r>
      <w:r>
        <w:tab/>
      </w:r>
      <w:r>
        <w:tab/>
      </w:r>
      <w:r>
        <w:tab/>
        <w:t>(4 marks)</w:t>
      </w:r>
    </w:p>
    <w:p w14:paraId="66D004C7" w14:textId="77777777" w:rsidR="0099614E" w:rsidRDefault="0099614E" w:rsidP="0099614E">
      <w:pPr>
        <w:spacing w:line="360" w:lineRule="auto"/>
        <w:ind w:left="360"/>
      </w:pPr>
      <w:r>
        <w:lastRenderedPageBreak/>
        <w:t>i)</w:t>
      </w:r>
      <w:r>
        <w:tab/>
        <w:t xml:space="preserve">Typing the given letter. </w:t>
      </w:r>
      <w:r>
        <w:tab/>
      </w:r>
      <w:r>
        <w:tab/>
      </w:r>
      <w:r>
        <w:tab/>
      </w:r>
      <w:r>
        <w:tab/>
      </w:r>
      <w:r>
        <w:tab/>
      </w:r>
      <w:r>
        <w:tab/>
      </w:r>
      <w:r>
        <w:tab/>
      </w:r>
      <w:r>
        <w:tab/>
        <w:t>(2 marks)</w:t>
      </w:r>
    </w:p>
    <w:p w14:paraId="555435C9" w14:textId="77777777" w:rsidR="0099614E" w:rsidRDefault="0099614E" w:rsidP="0099614E">
      <w:pPr>
        <w:spacing w:line="360" w:lineRule="auto"/>
        <w:ind w:left="360"/>
      </w:pPr>
      <w:r>
        <w:tab/>
        <w:t>Save as Confirmation.</w:t>
      </w:r>
      <w:r>
        <w:tab/>
      </w:r>
      <w:r>
        <w:tab/>
      </w:r>
      <w:r>
        <w:tab/>
      </w:r>
      <w:r>
        <w:tab/>
      </w:r>
      <w:r>
        <w:tab/>
      </w:r>
      <w:r>
        <w:tab/>
      </w:r>
      <w:r>
        <w:tab/>
      </w:r>
      <w:r>
        <w:tab/>
      </w:r>
      <w:r>
        <w:tab/>
        <w:t>(1 mark)</w:t>
      </w:r>
    </w:p>
    <w:p w14:paraId="1AA044A7" w14:textId="77777777" w:rsidR="0099614E" w:rsidRPr="00721E14" w:rsidRDefault="0099614E" w:rsidP="0099614E">
      <w:pPr>
        <w:spacing w:line="360" w:lineRule="auto"/>
        <w:ind w:left="720" w:hanging="360"/>
        <w:rPr>
          <w:b/>
          <w:u w:val="double"/>
        </w:rPr>
      </w:pPr>
      <w:r w:rsidRPr="00721E14">
        <w:t>j)</w:t>
      </w:r>
      <w:r w:rsidRPr="00721E14">
        <w:tab/>
      </w:r>
      <w:r>
        <w:t>Merging the letter in (j) above (Confirmation) and the information on sheet 2 (QUALIFY) to generate letters for those students who qualify for a course in medicine. Save as Confirmation letters.</w:t>
      </w:r>
      <w:r>
        <w:tab/>
      </w:r>
      <w:r>
        <w:tab/>
      </w:r>
      <w:r>
        <w:tab/>
      </w:r>
      <w:r>
        <w:tab/>
      </w:r>
      <w:r>
        <w:tab/>
      </w:r>
      <w:r>
        <w:tab/>
      </w:r>
      <w:r>
        <w:tab/>
      </w:r>
      <w:r>
        <w:tab/>
      </w:r>
      <w:r>
        <w:tab/>
      </w:r>
      <w:r>
        <w:tab/>
      </w:r>
      <w:r>
        <w:tab/>
        <w:t>(4 marks)</w:t>
      </w:r>
    </w:p>
    <w:p w14:paraId="11766BF9" w14:textId="77777777" w:rsidR="0099614E" w:rsidRPr="00EF1A8E" w:rsidRDefault="0099614E" w:rsidP="0099614E">
      <w:pPr>
        <w:spacing w:line="360" w:lineRule="auto"/>
        <w:ind w:left="360"/>
      </w:pPr>
      <w:r>
        <w:t>k)</w:t>
      </w:r>
      <w:r>
        <w:tab/>
        <w:t xml:space="preserve">Print Test 1, Test 2, Confirmation and any </w:t>
      </w:r>
      <w:r w:rsidRPr="0008394E">
        <w:rPr>
          <w:b/>
        </w:rPr>
        <w:t>one</w:t>
      </w:r>
      <w:r>
        <w:t xml:space="preserve"> of the confirmation letters.</w:t>
      </w:r>
      <w:r>
        <w:tab/>
      </w:r>
      <w:r>
        <w:tab/>
        <w:t>(2 marks)</w:t>
      </w:r>
    </w:p>
    <w:p w14:paraId="0718F6DE" w14:textId="77777777" w:rsidR="0099614E" w:rsidRDefault="0099614E"/>
    <w:sectPr w:rsidR="0099614E" w:rsidSect="00616C06">
      <w:footerReference w:type="even" r:id="rId7"/>
      <w:footerReference w:type="default" r:id="rId8"/>
      <w:pgSz w:w="11909" w:h="16834" w:code="9"/>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E0AAC" w14:textId="77777777" w:rsidR="00C36BDE" w:rsidRDefault="00C36BDE" w:rsidP="00D4149B">
      <w:r>
        <w:separator/>
      </w:r>
    </w:p>
  </w:endnote>
  <w:endnote w:type="continuationSeparator" w:id="0">
    <w:p w14:paraId="0AC8EAF5" w14:textId="77777777" w:rsidR="00C36BDE" w:rsidRDefault="00C36BDE" w:rsidP="00D41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3B780" w14:textId="77777777" w:rsidR="00E047BB" w:rsidRDefault="00D4149B" w:rsidP="00F91B4A">
    <w:pPr>
      <w:pStyle w:val="Footer"/>
      <w:framePr w:wrap="around" w:vAnchor="text" w:hAnchor="margin" w:xAlign="center" w:y="1"/>
      <w:rPr>
        <w:rStyle w:val="PageNumber"/>
      </w:rPr>
    </w:pPr>
    <w:r>
      <w:rPr>
        <w:rStyle w:val="PageNumber"/>
      </w:rPr>
      <w:fldChar w:fldCharType="begin"/>
    </w:r>
    <w:r w:rsidR="00A43D8B">
      <w:rPr>
        <w:rStyle w:val="PageNumber"/>
      </w:rPr>
      <w:instrText xml:space="preserve">PAGE  </w:instrText>
    </w:r>
    <w:r>
      <w:rPr>
        <w:rStyle w:val="PageNumber"/>
      </w:rPr>
      <w:fldChar w:fldCharType="end"/>
    </w:r>
  </w:p>
  <w:p w14:paraId="53236B49" w14:textId="77777777" w:rsidR="00E047BB" w:rsidRDefault="00E047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2048" w14:textId="77777777" w:rsidR="00E047BB" w:rsidRDefault="00D4149B">
    <w:pPr>
      <w:pStyle w:val="Footer"/>
    </w:pPr>
    <w:r>
      <w:fldChar w:fldCharType="begin"/>
    </w:r>
    <w:r w:rsidR="00A43D8B">
      <w:instrText xml:space="preserve"> PAGE   \* MERGEFORMAT </w:instrText>
    </w:r>
    <w:r>
      <w:fldChar w:fldCharType="separate"/>
    </w:r>
    <w:r w:rsidR="00C27BD5">
      <w:rPr>
        <w:noProof/>
      </w:rPr>
      <w:t>1</w:t>
    </w:r>
    <w:r>
      <w:rPr>
        <w:noProof/>
      </w:rPr>
      <w:fldChar w:fldCharType="end"/>
    </w:r>
  </w:p>
  <w:p w14:paraId="667F3336" w14:textId="77777777" w:rsidR="00E047BB" w:rsidRDefault="00E04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43471" w14:textId="77777777" w:rsidR="00C36BDE" w:rsidRDefault="00C36BDE" w:rsidP="00D4149B">
      <w:r>
        <w:separator/>
      </w:r>
    </w:p>
  </w:footnote>
  <w:footnote w:type="continuationSeparator" w:id="0">
    <w:p w14:paraId="0F7384FA" w14:textId="77777777" w:rsidR="00C36BDE" w:rsidRDefault="00C36BDE" w:rsidP="00D41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97DCE"/>
    <w:multiLevelType w:val="hybridMultilevel"/>
    <w:tmpl w:val="5CC4294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25410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3D8B"/>
    <w:rsid w:val="001024D2"/>
    <w:rsid w:val="00431D35"/>
    <w:rsid w:val="00611719"/>
    <w:rsid w:val="008F5CDB"/>
    <w:rsid w:val="0099614E"/>
    <w:rsid w:val="00A43D8B"/>
    <w:rsid w:val="00A6655E"/>
    <w:rsid w:val="00BD7CFE"/>
    <w:rsid w:val="00C27BD5"/>
    <w:rsid w:val="00C36BDE"/>
    <w:rsid w:val="00D4149B"/>
    <w:rsid w:val="00E047BB"/>
    <w:rsid w:val="00E77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D39F83B"/>
  <w15:docId w15:val="{DC57464E-B8FB-400C-B917-419234DAD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D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3D8B"/>
    <w:pPr>
      <w:tabs>
        <w:tab w:val="center" w:pos="4320"/>
        <w:tab w:val="right" w:pos="8640"/>
      </w:tabs>
    </w:pPr>
  </w:style>
  <w:style w:type="character" w:customStyle="1" w:styleId="FooterChar">
    <w:name w:val="Footer Char"/>
    <w:basedOn w:val="DefaultParagraphFont"/>
    <w:link w:val="Footer"/>
    <w:uiPriority w:val="99"/>
    <w:rsid w:val="00A43D8B"/>
    <w:rPr>
      <w:rFonts w:ascii="Times New Roman" w:eastAsia="Times New Roman" w:hAnsi="Times New Roman" w:cs="Times New Roman"/>
      <w:sz w:val="24"/>
      <w:szCs w:val="24"/>
    </w:rPr>
  </w:style>
  <w:style w:type="character" w:styleId="PageNumber">
    <w:name w:val="page number"/>
    <w:basedOn w:val="DefaultParagraphFont"/>
    <w:rsid w:val="00A43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96257">
      <w:bodyDiv w:val="1"/>
      <w:marLeft w:val="0"/>
      <w:marRight w:val="0"/>
      <w:marTop w:val="0"/>
      <w:marBottom w:val="0"/>
      <w:divBdr>
        <w:top w:val="none" w:sz="0" w:space="0" w:color="auto"/>
        <w:left w:val="none" w:sz="0" w:space="0" w:color="auto"/>
        <w:bottom w:val="none" w:sz="0" w:space="0" w:color="auto"/>
        <w:right w:val="none" w:sz="0" w:space="0" w:color="auto"/>
      </w:divBdr>
    </w:div>
    <w:div w:id="36826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1190</Words>
  <Characters>6783</Characters>
  <Application>Microsoft Office Word</Application>
  <DocSecurity>0</DocSecurity>
  <Lines>56</Lines>
  <Paragraphs>15</Paragraphs>
  <ScaleCrop>false</ScaleCrop>
  <Company>Deftones</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ELDAMA-RAVIN GIRLS</dc:creator>
  <cp:lastModifiedBy>Teacher</cp:lastModifiedBy>
  <cp:revision>6</cp:revision>
  <dcterms:created xsi:type="dcterms:W3CDTF">2006-01-01T00:33:00Z</dcterms:created>
  <dcterms:modified xsi:type="dcterms:W3CDTF">2025-05-22T07:39:00Z</dcterms:modified>
</cp:coreProperties>
</file>